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8423D" w14:textId="77777777" w:rsidR="00A72B3E" w:rsidRDefault="00A72B3E" w:rsidP="005F0EEC">
      <w:pPr>
        <w:pStyle w:val="Body"/>
        <w:jc w:val="both"/>
        <w:rPr>
          <w:rFonts w:cs="Times New Roman"/>
          <w:b/>
          <w:bCs/>
        </w:rPr>
      </w:pPr>
    </w:p>
    <w:p w14:paraId="35648740" w14:textId="2D864D96" w:rsidR="0019780D" w:rsidRPr="00CF392C" w:rsidRDefault="00E9706B" w:rsidP="005F0EEC">
      <w:pPr>
        <w:pStyle w:val="Body"/>
        <w:jc w:val="both"/>
        <w:rPr>
          <w:rFonts w:cs="Times New Roman"/>
          <w:b/>
          <w:bCs/>
        </w:rPr>
      </w:pPr>
      <w:proofErr w:type="spellStart"/>
      <w:r>
        <w:rPr>
          <w:rFonts w:cs="Times New Roman"/>
          <w:b/>
          <w:bCs/>
        </w:rPr>
        <w:t>Liisa-Ly</w:t>
      </w:r>
      <w:proofErr w:type="spellEnd"/>
      <w:r>
        <w:rPr>
          <w:rFonts w:cs="Times New Roman"/>
          <w:b/>
          <w:bCs/>
        </w:rPr>
        <w:t xml:space="preserve"> Pakosta</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p>
    <w:p w14:paraId="6CA565AF" w14:textId="472F6654" w:rsidR="0019780D" w:rsidRPr="00CF392C" w:rsidRDefault="00E9706B" w:rsidP="005F0EEC">
      <w:pPr>
        <w:pStyle w:val="Body"/>
        <w:jc w:val="both"/>
        <w:rPr>
          <w:rFonts w:cs="Times New Roman"/>
          <w:bCs/>
          <w:color w:val="auto"/>
        </w:rPr>
      </w:pPr>
      <w:r>
        <w:rPr>
          <w:rFonts w:cs="Times New Roman"/>
        </w:rPr>
        <w:t>Justiits- ja digiminister</w:t>
      </w:r>
      <w:r w:rsidR="0019780D" w:rsidRPr="00CF392C">
        <w:rPr>
          <w:rFonts w:cs="Times New Roman"/>
          <w:b/>
          <w:bCs/>
        </w:rPr>
        <w:t xml:space="preserve">                                                        </w:t>
      </w:r>
      <w:r w:rsidR="008B5BD0">
        <w:rPr>
          <w:rFonts w:cs="Times New Roman"/>
          <w:b/>
          <w:bCs/>
        </w:rPr>
        <w:t xml:space="preserve">       </w:t>
      </w:r>
      <w:r w:rsidR="0019780D" w:rsidRPr="00CF392C">
        <w:rPr>
          <w:rFonts w:cs="Times New Roman"/>
          <w:bCs/>
          <w:color w:val="auto"/>
        </w:rPr>
        <w:t xml:space="preserve"> </w:t>
      </w:r>
      <w:r w:rsidR="00CA5749">
        <w:rPr>
          <w:rFonts w:cs="Times New Roman"/>
          <w:bCs/>
          <w:color w:val="auto"/>
        </w:rPr>
        <w:t xml:space="preserve">           </w:t>
      </w:r>
      <w:r w:rsidR="001E25D4">
        <w:rPr>
          <w:rFonts w:cs="Times New Roman"/>
          <w:bCs/>
          <w:color w:val="auto"/>
        </w:rPr>
        <w:t xml:space="preserve">     </w:t>
      </w:r>
      <w:r w:rsidR="00CA5749">
        <w:rPr>
          <w:rFonts w:cs="Times New Roman"/>
          <w:bCs/>
          <w:color w:val="auto"/>
        </w:rPr>
        <w:t xml:space="preserve"> </w:t>
      </w:r>
      <w:r w:rsidR="001E25D4">
        <w:rPr>
          <w:rFonts w:cs="Times New Roman"/>
          <w:bCs/>
          <w:color w:val="auto"/>
        </w:rPr>
        <w:t>05.01.2026</w:t>
      </w:r>
      <w:r w:rsidR="00FA1AC9" w:rsidRPr="00CF392C">
        <w:rPr>
          <w:rFonts w:cs="Times New Roman"/>
          <w:bCs/>
          <w:color w:val="auto"/>
        </w:rPr>
        <w:t xml:space="preserve"> nr </w:t>
      </w:r>
      <w:r w:rsidR="0037011C">
        <w:rPr>
          <w:rFonts w:cs="Times New Roman"/>
          <w:bCs/>
          <w:color w:val="auto"/>
        </w:rPr>
        <w:t>1-8</w:t>
      </w:r>
      <w:r w:rsidR="008B3EC3">
        <w:rPr>
          <w:rFonts w:cs="Times New Roman"/>
          <w:bCs/>
          <w:color w:val="auto"/>
        </w:rPr>
        <w:t>/</w:t>
      </w:r>
      <w:r w:rsidR="0037011C">
        <w:rPr>
          <w:rFonts w:cs="Times New Roman"/>
          <w:bCs/>
          <w:color w:val="auto"/>
        </w:rPr>
        <w:t>2</w:t>
      </w:r>
      <w:r w:rsidR="001E25D4">
        <w:rPr>
          <w:rFonts w:cs="Times New Roman"/>
          <w:bCs/>
          <w:color w:val="auto"/>
        </w:rPr>
        <w:t>6/4</w:t>
      </w:r>
      <w:r w:rsidR="0019780D" w:rsidRPr="00CF392C">
        <w:rPr>
          <w:rFonts w:cs="Times New Roman"/>
          <w:bCs/>
          <w:color w:val="auto"/>
        </w:rPr>
        <w:t xml:space="preserve"> </w:t>
      </w:r>
    </w:p>
    <w:p w14:paraId="203AD6B3" w14:textId="735AC9BF" w:rsidR="0019780D" w:rsidRPr="00CF392C" w:rsidRDefault="00E9706B" w:rsidP="005F0EEC">
      <w:pPr>
        <w:pStyle w:val="Body"/>
        <w:jc w:val="both"/>
        <w:rPr>
          <w:rFonts w:eastAsia="Times New Roman" w:cs="Times New Roman"/>
          <w:bCs/>
        </w:rPr>
      </w:pPr>
      <w:r>
        <w:rPr>
          <w:rFonts w:cs="Times New Roman"/>
        </w:rPr>
        <w:t>Justiits- ja digiministeerium</w:t>
      </w:r>
      <w:r w:rsidR="0019780D" w:rsidRPr="00CF392C">
        <w:rPr>
          <w:rFonts w:cs="Times New Roman"/>
        </w:rPr>
        <w:t xml:space="preserve">                                                       </w:t>
      </w:r>
    </w:p>
    <w:p w14:paraId="6E184BEF" w14:textId="152426C9" w:rsidR="00995853" w:rsidRDefault="00995853" w:rsidP="00995853">
      <w:pPr>
        <w:pStyle w:val="Body"/>
        <w:jc w:val="both"/>
        <w:rPr>
          <w:rFonts w:eastAsia="Times New Roman" w:cs="Times New Roman"/>
          <w:bCs/>
        </w:rPr>
      </w:pPr>
      <w:r w:rsidRPr="00995853">
        <w:rPr>
          <w:rFonts w:eastAsia="Times New Roman" w:cs="Times New Roman"/>
          <w:bCs/>
        </w:rPr>
        <w:t>info@</w:t>
      </w:r>
      <w:r w:rsidR="00E9706B">
        <w:rPr>
          <w:rFonts w:eastAsia="Times New Roman" w:cs="Times New Roman"/>
          <w:bCs/>
        </w:rPr>
        <w:t>justdigi</w:t>
      </w:r>
      <w:r w:rsidRPr="00995853">
        <w:rPr>
          <w:rFonts w:eastAsia="Times New Roman" w:cs="Times New Roman"/>
          <w:bCs/>
        </w:rPr>
        <w:t>.ee</w:t>
      </w:r>
    </w:p>
    <w:p w14:paraId="7F1F1CD0" w14:textId="73CA38D0" w:rsidR="00E9706B" w:rsidRPr="00CF392C" w:rsidRDefault="00CC7C88" w:rsidP="00995853">
      <w:pPr>
        <w:pStyle w:val="Body"/>
        <w:jc w:val="both"/>
        <w:rPr>
          <w:rFonts w:cs="Times New Roman"/>
        </w:rPr>
      </w:pPr>
      <w:r w:rsidRPr="00CC7C88">
        <w:rPr>
          <w:rFonts w:cs="Times New Roman"/>
        </w:rPr>
        <w:t>silja.tammeorg@justdigi.ee</w:t>
      </w:r>
      <w:r w:rsidR="00E9706B">
        <w:rPr>
          <w:rFonts w:cs="Times New Roman"/>
        </w:rPr>
        <w:t xml:space="preserve"> </w:t>
      </w:r>
    </w:p>
    <w:p w14:paraId="4F26BD09" w14:textId="77777777" w:rsidR="0019780D" w:rsidRPr="00CF392C" w:rsidRDefault="0019780D" w:rsidP="005F0EEC">
      <w:pPr>
        <w:widowControl/>
        <w:suppressAutoHyphens w:val="0"/>
        <w:jc w:val="both"/>
        <w:rPr>
          <w:color w:val="auto"/>
          <w:szCs w:val="24"/>
        </w:rPr>
      </w:pPr>
    </w:p>
    <w:p w14:paraId="1C2EE57A" w14:textId="77777777" w:rsidR="0019780D" w:rsidRPr="00CF392C" w:rsidRDefault="0019780D" w:rsidP="005F0EEC">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40814980" w:rsidR="0019780D" w:rsidRPr="00CF392C" w:rsidRDefault="00CC7C88" w:rsidP="005F0EEC">
      <w:pPr>
        <w:tabs>
          <w:tab w:val="left" w:pos="0"/>
        </w:tabs>
        <w:jc w:val="both"/>
        <w:rPr>
          <w:b/>
          <w:bCs/>
          <w:szCs w:val="24"/>
        </w:rPr>
      </w:pPr>
      <w:r>
        <w:rPr>
          <w:b/>
          <w:bCs/>
          <w:szCs w:val="24"/>
        </w:rPr>
        <w:t xml:space="preserve">Ettepanek </w:t>
      </w:r>
      <w:r w:rsidR="00407A0E">
        <w:rPr>
          <w:b/>
          <w:bCs/>
          <w:szCs w:val="24"/>
        </w:rPr>
        <w:t>advokatuuriseaduse</w:t>
      </w:r>
      <w:r>
        <w:rPr>
          <w:b/>
          <w:bCs/>
          <w:szCs w:val="24"/>
        </w:rPr>
        <w:t xml:space="preserve"> muutmiseks</w:t>
      </w:r>
    </w:p>
    <w:p w14:paraId="2C65BF31" w14:textId="77777777" w:rsidR="0019780D" w:rsidRPr="00CF392C" w:rsidRDefault="0019780D" w:rsidP="005F0EEC">
      <w:pPr>
        <w:tabs>
          <w:tab w:val="left" w:pos="0"/>
        </w:tabs>
        <w:jc w:val="both"/>
        <w:rPr>
          <w:b/>
          <w:bCs/>
          <w:szCs w:val="24"/>
        </w:rPr>
      </w:pPr>
    </w:p>
    <w:p w14:paraId="5664917E" w14:textId="77777777" w:rsidR="0019780D" w:rsidRPr="00CF392C" w:rsidRDefault="0019780D" w:rsidP="005F0EEC">
      <w:pPr>
        <w:tabs>
          <w:tab w:val="left" w:pos="0"/>
        </w:tabs>
        <w:jc w:val="both"/>
        <w:rPr>
          <w:szCs w:val="24"/>
        </w:rPr>
      </w:pPr>
    </w:p>
    <w:p w14:paraId="6B2E6EAE" w14:textId="1B83119B" w:rsidR="0019780D" w:rsidRDefault="0019780D" w:rsidP="005F0EEC">
      <w:pPr>
        <w:tabs>
          <w:tab w:val="left" w:pos="0"/>
        </w:tabs>
        <w:jc w:val="both"/>
        <w:rPr>
          <w:szCs w:val="24"/>
        </w:rPr>
      </w:pPr>
      <w:r w:rsidRPr="00CF392C">
        <w:rPr>
          <w:szCs w:val="24"/>
        </w:rPr>
        <w:t xml:space="preserve">Lugupeetud </w:t>
      </w:r>
      <w:proofErr w:type="spellStart"/>
      <w:r w:rsidR="008C1863">
        <w:rPr>
          <w:szCs w:val="24"/>
        </w:rPr>
        <w:t>Liisa-Ly</w:t>
      </w:r>
      <w:proofErr w:type="spellEnd"/>
      <w:r w:rsidR="008C1863">
        <w:rPr>
          <w:szCs w:val="24"/>
        </w:rPr>
        <w:t xml:space="preserve"> Pakosta</w:t>
      </w:r>
    </w:p>
    <w:p w14:paraId="6C9BC8E9" w14:textId="77777777" w:rsidR="00CC7C88" w:rsidRDefault="00CC7C88" w:rsidP="005F0EEC">
      <w:pPr>
        <w:tabs>
          <w:tab w:val="left" w:pos="0"/>
        </w:tabs>
        <w:jc w:val="both"/>
        <w:rPr>
          <w:szCs w:val="24"/>
        </w:rPr>
      </w:pPr>
    </w:p>
    <w:p w14:paraId="14419A85" w14:textId="77777777" w:rsidR="00CC7C88" w:rsidRDefault="00CC7C88" w:rsidP="005F0EEC">
      <w:pPr>
        <w:tabs>
          <w:tab w:val="left" w:pos="0"/>
        </w:tabs>
        <w:jc w:val="both"/>
        <w:rPr>
          <w:szCs w:val="24"/>
        </w:rPr>
      </w:pPr>
    </w:p>
    <w:p w14:paraId="43486AAE" w14:textId="0CF73439" w:rsidR="009E7460" w:rsidRDefault="009E7460" w:rsidP="005F0EEC">
      <w:pPr>
        <w:tabs>
          <w:tab w:val="left" w:pos="0"/>
        </w:tabs>
        <w:jc w:val="both"/>
      </w:pPr>
      <w:r>
        <w:t xml:space="preserve">Eesti Advokatuur soovib esitada </w:t>
      </w:r>
      <w:r w:rsidR="00C54943">
        <w:t xml:space="preserve">peagi Riigikogu menetlusse mineva halduskohtumenetluse </w:t>
      </w:r>
      <w:r w:rsidR="6799FD7A">
        <w:t xml:space="preserve">seadustiku </w:t>
      </w:r>
      <w:r w:rsidR="00C54943">
        <w:t xml:space="preserve">muutmise seaduse eelnõusse </w:t>
      </w:r>
      <w:r w:rsidR="009F4B4B">
        <w:t>ettepanekud advokatuuriseaduse</w:t>
      </w:r>
      <w:r>
        <w:t xml:space="preserve"> muutmiseks, mis aitab vähendada ka </w:t>
      </w:r>
      <w:r w:rsidR="008B2628">
        <w:t xml:space="preserve">halduskohtute töökoormust. </w:t>
      </w:r>
    </w:p>
    <w:p w14:paraId="39C64F10" w14:textId="77777777" w:rsidR="008B2628" w:rsidRDefault="008B2628" w:rsidP="005F0EEC">
      <w:pPr>
        <w:tabs>
          <w:tab w:val="left" w:pos="0"/>
        </w:tabs>
        <w:jc w:val="both"/>
        <w:rPr>
          <w:szCs w:val="24"/>
        </w:rPr>
      </w:pPr>
    </w:p>
    <w:p w14:paraId="6A611335" w14:textId="31CC6E6A" w:rsidR="008B2628" w:rsidRDefault="00B36223" w:rsidP="005F0EEC">
      <w:pPr>
        <w:tabs>
          <w:tab w:val="left" w:pos="0"/>
        </w:tabs>
        <w:jc w:val="both"/>
        <w:rPr>
          <w:szCs w:val="24"/>
        </w:rPr>
      </w:pPr>
      <w:r>
        <w:rPr>
          <w:szCs w:val="24"/>
        </w:rPr>
        <w:t xml:space="preserve">I </w:t>
      </w:r>
      <w:r w:rsidR="00362EAF">
        <w:rPr>
          <w:szCs w:val="24"/>
        </w:rPr>
        <w:t>E</w:t>
      </w:r>
      <w:r w:rsidR="00CE09EB">
        <w:rPr>
          <w:szCs w:val="24"/>
        </w:rPr>
        <w:t>ttepaneku</w:t>
      </w:r>
      <w:r w:rsidR="002013EF">
        <w:rPr>
          <w:szCs w:val="24"/>
        </w:rPr>
        <w:t>d</w:t>
      </w:r>
      <w:r w:rsidR="00CE09EB">
        <w:rPr>
          <w:szCs w:val="24"/>
        </w:rPr>
        <w:t xml:space="preserve"> </w:t>
      </w:r>
      <w:r w:rsidR="009F4B4B">
        <w:rPr>
          <w:szCs w:val="24"/>
        </w:rPr>
        <w:t xml:space="preserve">advokatuuriseaduse </w:t>
      </w:r>
      <w:r w:rsidR="00795178">
        <w:rPr>
          <w:szCs w:val="24"/>
        </w:rPr>
        <w:t xml:space="preserve">muutmiseks </w:t>
      </w:r>
    </w:p>
    <w:p w14:paraId="2A745EB0" w14:textId="77D64E2C" w:rsidR="00467E7B" w:rsidRDefault="00467E7B" w:rsidP="005F0EEC">
      <w:pPr>
        <w:tabs>
          <w:tab w:val="left" w:pos="0"/>
        </w:tabs>
        <w:jc w:val="both"/>
        <w:rPr>
          <w:szCs w:val="24"/>
        </w:rPr>
      </w:pPr>
    </w:p>
    <w:p w14:paraId="24393579" w14:textId="77777777" w:rsidR="00312958" w:rsidRDefault="00795178" w:rsidP="005F0EEC">
      <w:pPr>
        <w:tabs>
          <w:tab w:val="left" w:pos="0"/>
        </w:tabs>
        <w:jc w:val="both"/>
        <w:rPr>
          <w:szCs w:val="24"/>
        </w:rPr>
      </w:pPr>
      <w:r>
        <w:rPr>
          <w:szCs w:val="24"/>
        </w:rPr>
        <w:t>1) paragrahv</w:t>
      </w:r>
      <w:r w:rsidR="00312958">
        <w:rPr>
          <w:szCs w:val="24"/>
        </w:rPr>
        <w:t>i 4 lõige 5 muudetakse ja sõnastatakse järgmiselt:</w:t>
      </w:r>
    </w:p>
    <w:p w14:paraId="29FCBC10" w14:textId="77777777" w:rsidR="00684833" w:rsidRDefault="00684833" w:rsidP="005F0EEC">
      <w:pPr>
        <w:tabs>
          <w:tab w:val="left" w:pos="0"/>
        </w:tabs>
        <w:jc w:val="both"/>
        <w:rPr>
          <w:szCs w:val="24"/>
        </w:rPr>
      </w:pPr>
    </w:p>
    <w:p w14:paraId="6A64124E" w14:textId="4C51C1AF" w:rsidR="00E707D0" w:rsidRDefault="00E707D0" w:rsidP="005F0EEC">
      <w:pPr>
        <w:tabs>
          <w:tab w:val="left" w:pos="0"/>
        </w:tabs>
        <w:jc w:val="both"/>
      </w:pPr>
      <w:r>
        <w:t>„</w:t>
      </w:r>
      <w:r w:rsidR="00684833">
        <w:t xml:space="preserve">(5) </w:t>
      </w:r>
      <w:r>
        <w:t xml:space="preserve">Huvitatud isik võib advokatuuri </w:t>
      </w:r>
      <w:r w:rsidR="00795178">
        <w:t>organi õigusakti või toimingu peale esitada kaebuse halduskohtule, </w:t>
      </w:r>
      <w:r w:rsidR="3CCDD3ED">
        <w:t xml:space="preserve">kui õigusakt või toiming rikub huvitatud isiku õigusi, </w:t>
      </w:r>
      <w:r w:rsidR="00795178">
        <w:t>arvestades käesoleva seadusega sätestatud erisusi.“</w:t>
      </w:r>
    </w:p>
    <w:p w14:paraId="2B39F93B" w14:textId="77777777" w:rsidR="00684833" w:rsidRDefault="00684833" w:rsidP="005F0EEC">
      <w:pPr>
        <w:tabs>
          <w:tab w:val="left" w:pos="0"/>
        </w:tabs>
        <w:jc w:val="both"/>
        <w:rPr>
          <w:szCs w:val="24"/>
        </w:rPr>
      </w:pPr>
    </w:p>
    <w:p w14:paraId="20EB8464" w14:textId="0AD93026" w:rsidR="00684833" w:rsidRDefault="00684833" w:rsidP="00684833">
      <w:pPr>
        <w:tabs>
          <w:tab w:val="left" w:pos="0"/>
        </w:tabs>
        <w:jc w:val="both"/>
        <w:rPr>
          <w:szCs w:val="24"/>
        </w:rPr>
      </w:pPr>
      <w:r>
        <w:rPr>
          <w:szCs w:val="24"/>
        </w:rPr>
        <w:t>2) paragrahvi 18 lõige 1 muudetakse ja sõnastatakse järgmiselt:</w:t>
      </w:r>
    </w:p>
    <w:p w14:paraId="0642C4DA" w14:textId="77777777" w:rsidR="00684833" w:rsidRDefault="00684833" w:rsidP="00684833">
      <w:pPr>
        <w:tabs>
          <w:tab w:val="left" w:pos="0"/>
        </w:tabs>
        <w:jc w:val="both"/>
        <w:rPr>
          <w:szCs w:val="24"/>
        </w:rPr>
      </w:pPr>
    </w:p>
    <w:p w14:paraId="425D4990" w14:textId="1885C371" w:rsidR="00853855" w:rsidRDefault="00684833" w:rsidP="00684833">
      <w:pPr>
        <w:tabs>
          <w:tab w:val="left" w:pos="0"/>
        </w:tabs>
        <w:jc w:val="both"/>
        <w:rPr>
          <w:szCs w:val="24"/>
        </w:rPr>
      </w:pPr>
      <w:r>
        <w:rPr>
          <w:szCs w:val="24"/>
        </w:rPr>
        <w:t xml:space="preserve">„(1) </w:t>
      </w:r>
      <w:r w:rsidR="007D6888" w:rsidRPr="007D6888">
        <w:rPr>
          <w:szCs w:val="24"/>
        </w:rPr>
        <w:t xml:space="preserve">Advokaat, </w:t>
      </w:r>
      <w:r w:rsidR="00853855">
        <w:rPr>
          <w:szCs w:val="24"/>
        </w:rPr>
        <w:t>kelle suhtes on tehtud aukohtu otsus, võib selle peale esitada kaebuse halduskohtule</w:t>
      </w:r>
      <w:r w:rsidR="00B36223">
        <w:rPr>
          <w:szCs w:val="24"/>
        </w:rPr>
        <w:t>.“</w:t>
      </w:r>
    </w:p>
    <w:p w14:paraId="05A6FE5A" w14:textId="77777777" w:rsidR="00853855" w:rsidRDefault="00853855" w:rsidP="00684833">
      <w:pPr>
        <w:tabs>
          <w:tab w:val="left" w:pos="0"/>
        </w:tabs>
        <w:jc w:val="both"/>
        <w:rPr>
          <w:szCs w:val="24"/>
        </w:rPr>
      </w:pPr>
    </w:p>
    <w:p w14:paraId="1035405C" w14:textId="206DC8EF" w:rsidR="00853855" w:rsidRDefault="00B36223" w:rsidP="00684833">
      <w:pPr>
        <w:tabs>
          <w:tab w:val="left" w:pos="0"/>
        </w:tabs>
        <w:jc w:val="both"/>
        <w:rPr>
          <w:szCs w:val="24"/>
        </w:rPr>
      </w:pPr>
      <w:r>
        <w:rPr>
          <w:szCs w:val="24"/>
        </w:rPr>
        <w:t>II Muudatusettepanekute põhjendused</w:t>
      </w:r>
    </w:p>
    <w:p w14:paraId="029BEC71" w14:textId="77777777" w:rsidR="00B36223" w:rsidRDefault="00B36223" w:rsidP="00684833">
      <w:pPr>
        <w:tabs>
          <w:tab w:val="left" w:pos="0"/>
        </w:tabs>
        <w:jc w:val="both"/>
        <w:rPr>
          <w:szCs w:val="24"/>
        </w:rPr>
      </w:pPr>
    </w:p>
    <w:p w14:paraId="17CE721D" w14:textId="41E07CD8" w:rsidR="00932BD1" w:rsidRPr="00932BD1" w:rsidRDefault="00932BD1" w:rsidP="00932BD1">
      <w:pPr>
        <w:tabs>
          <w:tab w:val="left" w:pos="0"/>
        </w:tabs>
        <w:jc w:val="both"/>
      </w:pPr>
      <w:proofErr w:type="spellStart"/>
      <w:r w:rsidRPr="00932BD1">
        <w:t>AdvS</w:t>
      </w:r>
      <w:proofErr w:type="spellEnd"/>
      <w:r w:rsidRPr="00932BD1">
        <w:t xml:space="preserve"> § 4 lg 5</w:t>
      </w:r>
      <w:r w:rsidR="00F6536A">
        <w:t xml:space="preserve"> muudetakse</w:t>
      </w:r>
      <w:r w:rsidRPr="00932BD1">
        <w:t>, sidudes edasikaebe õiguse huvitatud isiku enda õiguste rikkumisega, mitte pelgalt huvitatud isikuks olemise staatusega. Muudatus on otstarbekas selguse loomiseks, et iga huvitatud isik ei ole õigustatud kaebust esitama avalikes või üldistes huvides, kui advokatuuri otsus või toiming on küll ajendatud huvitatud isiku pöördumisest, kuid tema enda õigusi otseselt ei puuduta (nt aukohtu otsus). Muudatus samas ei piira kaebuse esitamist juhtudel, kui otsus tehakse huvitatud isiku enda suhtes, näiteks keeldutakse võtmast isikut advokatuuri liikmeks.</w:t>
      </w:r>
    </w:p>
    <w:p w14:paraId="65FC872B" w14:textId="77777777" w:rsidR="00932BD1" w:rsidRPr="00932BD1" w:rsidRDefault="00932BD1" w:rsidP="00932BD1">
      <w:pPr>
        <w:tabs>
          <w:tab w:val="left" w:pos="0"/>
        </w:tabs>
        <w:jc w:val="both"/>
      </w:pPr>
    </w:p>
    <w:p w14:paraId="23DA6526" w14:textId="16A6E324" w:rsidR="00932BD1" w:rsidRPr="00932BD1" w:rsidRDefault="003F16E1" w:rsidP="00932BD1">
      <w:pPr>
        <w:tabs>
          <w:tab w:val="left" w:pos="0"/>
        </w:tabs>
        <w:jc w:val="both"/>
      </w:pPr>
      <w:r>
        <w:t>Samuti</w:t>
      </w:r>
      <w:r w:rsidR="00932BD1">
        <w:t xml:space="preserve"> muudetakse </w:t>
      </w:r>
      <w:proofErr w:type="spellStart"/>
      <w:r w:rsidR="00932BD1">
        <w:t>AdvS</w:t>
      </w:r>
      <w:proofErr w:type="spellEnd"/>
      <w:r w:rsidR="00932BD1">
        <w:t xml:space="preserve"> § 18 lg 1 ja sätestatakse, et aukohtu otsust saab vaidlustada menetlusalune advokaat, kuna aukohtu otsus puudutab tema tegevust ja distsiplinaarvastutust. Kehtiva sõnastuse kohaselt saab aukohtu otsust vaidlustada huvitatud isik, milline määratlus on </w:t>
      </w:r>
      <w:r w:rsidR="00932BD1">
        <w:lastRenderedPageBreak/>
        <w:t xml:space="preserve">liiga lai ja võimaldab halduskohtule kaebuse esitamist ka huvitatud isikul, kes on </w:t>
      </w:r>
      <w:proofErr w:type="spellStart"/>
      <w:r w:rsidR="3E943AB2">
        <w:t>aukohtu</w:t>
      </w:r>
      <w:r w:rsidR="00932BD1">
        <w:t>menetluses</w:t>
      </w:r>
      <w:proofErr w:type="spellEnd"/>
      <w:r w:rsidR="00932BD1">
        <w:t xml:space="preserve"> pigem teabeallikaks, mitte pooleks. </w:t>
      </w:r>
      <w:proofErr w:type="spellStart"/>
      <w:r w:rsidR="00932BD1">
        <w:t>Aukohtule</w:t>
      </w:r>
      <w:proofErr w:type="spellEnd"/>
      <w:r w:rsidR="00932BD1">
        <w:t xml:space="preserve"> kaebuse esitaja võib küll olla huvitatud, et asja menetletaks, kuid ta ei ole puudutatud isikuks, kellele oleks vaja tagada kaebeõigust, kuivõrd aukohtu menetlus kui distsiplinaarmenetlus ja selle tulemusel tehtav otsus ei mõjuta </w:t>
      </w:r>
      <w:proofErr w:type="spellStart"/>
      <w:r w:rsidR="00932BD1">
        <w:t>aukohtule</w:t>
      </w:r>
      <w:proofErr w:type="spellEnd"/>
      <w:r w:rsidR="00932BD1">
        <w:t xml:space="preserve"> kaebuse esitaja enda õigusi ega huve, vaid üksnes menetlusalust advokaati. </w:t>
      </w:r>
    </w:p>
    <w:p w14:paraId="0C672532" w14:textId="77777777" w:rsidR="00932BD1" w:rsidRPr="00932BD1" w:rsidRDefault="00932BD1" w:rsidP="00932BD1">
      <w:pPr>
        <w:tabs>
          <w:tab w:val="left" w:pos="0"/>
        </w:tabs>
        <w:jc w:val="both"/>
      </w:pPr>
    </w:p>
    <w:p w14:paraId="4FE8DD62" w14:textId="220FD624" w:rsidR="00FA3FE6" w:rsidRPr="00FA3FE6" w:rsidRDefault="00FA3FE6">
      <w:pPr>
        <w:tabs>
          <w:tab w:val="left" w:pos="0"/>
        </w:tabs>
        <w:jc w:val="both"/>
      </w:pPr>
      <w:r>
        <w:t xml:space="preserve">Advokatuuri aukohus on omavalitsuslikel alustel ja advokatuuri autonoomial põhinev kutseorganisatsiooni </w:t>
      </w:r>
      <w:r w:rsidR="688D5F31">
        <w:t xml:space="preserve">sisemine </w:t>
      </w:r>
      <w:r>
        <w:t xml:space="preserve">organ, mille peamine eesmärk on </w:t>
      </w:r>
      <w:r w:rsidR="07947C74">
        <w:t xml:space="preserve">advokaadikutse ning </w:t>
      </w:r>
      <w:r>
        <w:t xml:space="preserve">organisatsiooni kui terviku huvides distsiplinaarkorras kutsuda korrale </w:t>
      </w:r>
      <w:r w:rsidR="098A0A29">
        <w:t>kutse-</w:t>
      </w:r>
      <w:r>
        <w:t xml:space="preserve">eetika või seaduse nõuetega vastuollu minevat advokaati </w:t>
      </w:r>
      <w:r w:rsidR="7DD8972B">
        <w:t>(</w:t>
      </w:r>
      <w:r>
        <w:t xml:space="preserve">või </w:t>
      </w:r>
      <w:r w:rsidR="68DBA870">
        <w:t xml:space="preserve">kõige </w:t>
      </w:r>
      <w:r>
        <w:t xml:space="preserve">tõsisemate rikkumiste korral arvata </w:t>
      </w:r>
      <w:r w:rsidR="1A810907">
        <w:t xml:space="preserve">advokaat </w:t>
      </w:r>
      <w:r>
        <w:t>organisatsioonist välja</w:t>
      </w:r>
      <w:r w:rsidR="400A3861">
        <w:t>)</w:t>
      </w:r>
      <w:r>
        <w:t xml:space="preserve"> ning kaudsemalt suunata liikmeid </w:t>
      </w:r>
      <w:proofErr w:type="spellStart"/>
      <w:r>
        <w:t>üldpreventiivses</w:t>
      </w:r>
      <w:proofErr w:type="spellEnd"/>
      <w:r>
        <w:t xml:space="preserve"> korras järgima kutse</w:t>
      </w:r>
      <w:r w:rsidR="19DC3B0D">
        <w:t>tegevuse ja kutse</w:t>
      </w:r>
      <w:r w:rsidR="00DC1561">
        <w:t>-</w:t>
      </w:r>
      <w:r>
        <w:t>eeti</w:t>
      </w:r>
      <w:r w:rsidR="541ABD50">
        <w:t>ka</w:t>
      </w:r>
      <w:r w:rsidR="255D2C8A">
        <w:t xml:space="preserve"> </w:t>
      </w:r>
      <w:r w:rsidR="52FA64B0">
        <w:t>nõudeid</w:t>
      </w:r>
      <w:r>
        <w:t xml:space="preserve">. </w:t>
      </w:r>
    </w:p>
    <w:p w14:paraId="619A2B8E" w14:textId="518AC1AA" w:rsidR="00FA3FE6" w:rsidRPr="00FA3FE6" w:rsidRDefault="00FA3FE6" w:rsidP="11D90FF8">
      <w:pPr>
        <w:tabs>
          <w:tab w:val="left" w:pos="0"/>
        </w:tabs>
        <w:jc w:val="both"/>
      </w:pPr>
    </w:p>
    <w:p w14:paraId="28BCC2A7" w14:textId="1DC658D6" w:rsidR="00FA3FE6" w:rsidRPr="00FA3FE6" w:rsidRDefault="41E2FDC6" w:rsidP="11D90FF8">
      <w:pPr>
        <w:tabs>
          <w:tab w:val="left" w:pos="0"/>
        </w:tabs>
        <w:jc w:val="both"/>
      </w:pPr>
      <w:proofErr w:type="spellStart"/>
      <w:r>
        <w:t>Aukohtule</w:t>
      </w:r>
      <w:proofErr w:type="spellEnd"/>
      <w:r>
        <w:t xml:space="preserve"> </w:t>
      </w:r>
      <w:r w:rsidR="3A41D933">
        <w:t xml:space="preserve">advokaadi tegevuse suhtes </w:t>
      </w:r>
      <w:r>
        <w:t xml:space="preserve">kaebuse esitanud isikul ehk </w:t>
      </w:r>
      <w:r w:rsidR="12DD0EDC">
        <w:t>h</w:t>
      </w:r>
      <w:r w:rsidR="00FA3FE6">
        <w:t xml:space="preserve">uvitatud isikul ei ole subjektiivset õigust nõuda </w:t>
      </w:r>
      <w:proofErr w:type="spellStart"/>
      <w:r w:rsidR="00FA3FE6">
        <w:t>aukohtumenetluse</w:t>
      </w:r>
      <w:proofErr w:type="spellEnd"/>
      <w:r w:rsidR="00FA3FE6">
        <w:t xml:space="preserve"> algatamist</w:t>
      </w:r>
      <w:r w:rsidR="0CB61FD2">
        <w:t xml:space="preserve"> ega advokaadi karistamist</w:t>
      </w:r>
      <w:r w:rsidR="00A84B55">
        <w:t>.</w:t>
      </w:r>
      <w:r w:rsidR="00FA3FE6">
        <w:t xml:space="preserve"> </w:t>
      </w:r>
      <w:r w:rsidR="360B61C6">
        <w:t>Ü</w:t>
      </w:r>
      <w:r w:rsidR="00FA3FE6">
        <w:t xml:space="preserve">kski aukohtu </w:t>
      </w:r>
      <w:r w:rsidR="1BCF33BE">
        <w:t xml:space="preserve">määratud </w:t>
      </w:r>
      <w:r w:rsidR="00FA3FE6">
        <w:t xml:space="preserve">distsiplinaarkaristus ei ole  suunatud </w:t>
      </w:r>
      <w:r w:rsidR="11E70030">
        <w:t xml:space="preserve">aukohtusse </w:t>
      </w:r>
      <w:r w:rsidR="00FA3FE6">
        <w:t>kaeb</w:t>
      </w:r>
      <w:r w:rsidR="3FB651E8">
        <w:t>use esitanud isiku</w:t>
      </w:r>
      <w:r w:rsidR="00FA3FE6">
        <w:t xml:space="preserve">le või tema olukorra parandamisele. </w:t>
      </w:r>
      <w:proofErr w:type="spellStart"/>
      <w:r w:rsidR="00FA3FE6">
        <w:t>Aukohtumenetluse</w:t>
      </w:r>
      <w:proofErr w:type="spellEnd"/>
      <w:r w:rsidR="00FA3FE6">
        <w:t xml:space="preserve"> eesmärk ega sisu ei ole kaebaja õiguste kaitse, st kaebuse esitamine </w:t>
      </w:r>
      <w:proofErr w:type="spellStart"/>
      <w:r w:rsidR="00FA3FE6">
        <w:t>aukohtule</w:t>
      </w:r>
      <w:proofErr w:type="spellEnd"/>
      <w:r w:rsidR="00FA3FE6">
        <w:t xml:space="preserve"> ei ole kaebaja õiguskaitsevahend, vaid sisuliselt märgukiri, mille alusel advokatuur </w:t>
      </w:r>
      <w:r w:rsidR="343C3F2C">
        <w:t>lähtuvalt kutsetegevuse ja kutse-eetika nõuetest</w:t>
      </w:r>
      <w:r w:rsidR="00FA3FE6">
        <w:t xml:space="preserve"> kas alustab või ei alusta distsiplinaarmenetlust. Kaebaja on </w:t>
      </w:r>
      <w:r w:rsidR="76E4301B">
        <w:t xml:space="preserve">aukohtu vaatest </w:t>
      </w:r>
      <w:r w:rsidR="00FA3FE6">
        <w:t xml:space="preserve"> info- ja tõendiallikas</w:t>
      </w:r>
      <w:r w:rsidR="60CC0D5B">
        <w:t xml:space="preserve"> (enamasti organisatsiooniväline)</w:t>
      </w:r>
      <w:r w:rsidR="00FA3FE6">
        <w:t xml:space="preserve">, mitte menetlusosaline, kelle huvides aukohus midagi menetleb või otsustab. </w:t>
      </w:r>
      <w:r w:rsidR="2E0690C6">
        <w:t xml:space="preserve">Seetõttu ei ole põhjendatud anda huvitatud isikule ka õigust vaidlustada aukohtu otsust halduskohtus. </w:t>
      </w:r>
      <w:r w:rsidR="38DA4BD8">
        <w:t>Huvitatud isikul</w:t>
      </w:r>
      <w:r w:rsidR="00FA3FE6">
        <w:t xml:space="preserve"> ei ole õigust esitada halduskohtule kaebust</w:t>
      </w:r>
      <w:r w:rsidR="0F4DD66E">
        <w:t xml:space="preserve"> ka</w:t>
      </w:r>
      <w:r w:rsidR="00FA3FE6">
        <w:t xml:space="preserve"> advokatuuri huvides ega ka mitte avalikes huvides. </w:t>
      </w:r>
      <w:r w:rsidR="4875386C">
        <w:t>Kui aukohtu otsust on vaja vaidlustada avalikes huvides, siis seda teeb seaduses sätestatud juhtudel Justiits- ja Digiministeerium (</w:t>
      </w:r>
      <w:proofErr w:type="spellStart"/>
      <w:r w:rsidR="4875386C">
        <w:t>AdvS</w:t>
      </w:r>
      <w:proofErr w:type="spellEnd"/>
      <w:r w:rsidR="4875386C">
        <w:t xml:space="preserve"> § 4 lg 4, § 18 lg 2).</w:t>
      </w:r>
    </w:p>
    <w:p w14:paraId="6C8443BA" w14:textId="77777777" w:rsidR="00FA3FE6" w:rsidRPr="00FA3FE6" w:rsidRDefault="00FA3FE6" w:rsidP="00FA3FE6">
      <w:pPr>
        <w:tabs>
          <w:tab w:val="left" w:pos="0"/>
        </w:tabs>
        <w:jc w:val="both"/>
        <w:rPr>
          <w:szCs w:val="24"/>
        </w:rPr>
      </w:pPr>
      <w:r w:rsidRPr="00FA3FE6">
        <w:rPr>
          <w:szCs w:val="24"/>
        </w:rPr>
        <w:t> </w:t>
      </w:r>
    </w:p>
    <w:p w14:paraId="29272637" w14:textId="56077C89" w:rsidR="00FA3FE6" w:rsidRPr="00FA3FE6" w:rsidRDefault="00FA3FE6" w:rsidP="11D90FF8">
      <w:pPr>
        <w:tabs>
          <w:tab w:val="left" w:pos="0"/>
        </w:tabs>
        <w:jc w:val="both"/>
      </w:pPr>
      <w:r>
        <w:t xml:space="preserve">Piirang, mille järgi aukohtu otsuse vaidlustamise õigus on üksnes advokaadil, kelle suhtes aukohtu lahend on tehtud, on kooskõlas ka põhiseadusega ning seda toetab ka vastavasisuline kohtupraktika. Kohtupraktikas, mis käsitleb </w:t>
      </w:r>
      <w:r w:rsidR="6A4A0735">
        <w:t xml:space="preserve">advokatuuri </w:t>
      </w:r>
      <w:r>
        <w:t xml:space="preserve">aukohtu otsuse vaidlustamist (eelkõige 01.07.2022 </w:t>
      </w:r>
      <w:proofErr w:type="spellStart"/>
      <w:r w:rsidR="001E1BFE" w:rsidRPr="000423E8">
        <w:t>RKHKo</w:t>
      </w:r>
      <w:proofErr w:type="spellEnd"/>
      <w:r w:rsidR="001E1BFE">
        <w:t xml:space="preserve"> asjas nr</w:t>
      </w:r>
      <w:r>
        <w:t xml:space="preserve"> </w:t>
      </w:r>
      <w:hyperlink r:id="rId11" w:history="1">
        <w:r w:rsidR="006848B1">
          <w:rPr>
            <w:rStyle w:val="Hyperlink"/>
          </w:rPr>
          <w:t>3-20-1214</w:t>
        </w:r>
      </w:hyperlink>
      <w:r>
        <w:t>, p 10, Tallinna Ringkonnakohtu 21.12.2016 määrus asjas nr 3-16-1148, p. 8, Tartu Halduskohtu 17.05.2021 määrus asjas nr 3-21-831, p 9-11, Tallinna Halduskohtu 22.02.2024 otsus asjas nr 3-23-1326, Tallinna Halduskohtu 25.03.2024 otsus nr 3-22-2628, Tallinna Ringkonnakohtu 27.05.2025 määrus asjas nr 3-25-232, Tallinna Ringkonnakohtu 25.06.2025 määrus asjas nr 3-25-1421</w:t>
      </w:r>
      <w:r w:rsidR="00F11EB8">
        <w:t xml:space="preserve"> ja</w:t>
      </w:r>
      <w:r>
        <w:t xml:space="preserve"> </w:t>
      </w:r>
      <w:r w:rsidR="0008518C">
        <w:t xml:space="preserve">06.02.2025 </w:t>
      </w:r>
      <w:proofErr w:type="spellStart"/>
      <w:r w:rsidR="0008518C" w:rsidRPr="000423E8">
        <w:t>RKHKm</w:t>
      </w:r>
      <w:proofErr w:type="spellEnd"/>
      <w:r w:rsidR="0008518C">
        <w:t xml:space="preserve"> asjas nr </w:t>
      </w:r>
      <w:hyperlink r:id="rId12" w:history="1">
        <w:r w:rsidR="0011768A">
          <w:rPr>
            <w:rStyle w:val="Hyperlink"/>
          </w:rPr>
          <w:t>3-24-146</w:t>
        </w:r>
      </w:hyperlink>
      <w:r>
        <w:t>), on kujunenud järgmised üldpõhimõtted:</w:t>
      </w:r>
    </w:p>
    <w:p w14:paraId="5DF1D855" w14:textId="77777777" w:rsidR="00FA3FE6" w:rsidRPr="00FA3FE6" w:rsidRDefault="00FA3FE6" w:rsidP="00FA3FE6">
      <w:pPr>
        <w:tabs>
          <w:tab w:val="left" w:pos="0"/>
        </w:tabs>
        <w:jc w:val="both"/>
        <w:rPr>
          <w:szCs w:val="24"/>
        </w:rPr>
      </w:pPr>
      <w:r w:rsidRPr="00FA3FE6">
        <w:rPr>
          <w:szCs w:val="24"/>
        </w:rPr>
        <w:t> </w:t>
      </w:r>
    </w:p>
    <w:p w14:paraId="78CF2807" w14:textId="05A92174" w:rsidR="00781B86" w:rsidRDefault="00FA3FE6" w:rsidP="00FA3FE6">
      <w:pPr>
        <w:tabs>
          <w:tab w:val="left" w:pos="0"/>
        </w:tabs>
        <w:jc w:val="both"/>
      </w:pPr>
      <w:r>
        <w:t xml:space="preserve">Huvitatud isikul ei ole subjektiivset õigust nõuda </w:t>
      </w:r>
      <w:proofErr w:type="spellStart"/>
      <w:r>
        <w:t>aukohtumenetluse</w:t>
      </w:r>
      <w:proofErr w:type="spellEnd"/>
      <w:r>
        <w:t xml:space="preserve"> algatamist ning </w:t>
      </w:r>
      <w:proofErr w:type="spellStart"/>
      <w:r>
        <w:t>aukohtumenetluse</w:t>
      </w:r>
      <w:proofErr w:type="spellEnd"/>
      <w:r>
        <w:t xml:space="preserve"> tulemus ei kaitse ka advokaadi karistamise korral huvitatud isiku subjektiivseid õigusi. Sellegipoolest on isikul, kes esitab </w:t>
      </w:r>
      <w:proofErr w:type="spellStart"/>
      <w:r>
        <w:t>aukohtule</w:t>
      </w:r>
      <w:proofErr w:type="spellEnd"/>
      <w:r>
        <w:t xml:space="preserve"> taotluse menetluse algatamiseks, õigus, et aukohus vaataks selle taotluse läbi, järgides selleks ettenähtud menetlusreegleid. Kui aukohus on rikkunud menetlusnorme, siis saab see olla aluseks pöördumiseks halduskohtusse ehk kaebeõiguse tekkimiseks. </w:t>
      </w:r>
    </w:p>
    <w:p w14:paraId="0C3CB95C" w14:textId="283232D3" w:rsidR="00781B86" w:rsidRDefault="00781B86" w:rsidP="00FA3FE6">
      <w:pPr>
        <w:tabs>
          <w:tab w:val="left" w:pos="0"/>
        </w:tabs>
        <w:jc w:val="both"/>
      </w:pPr>
    </w:p>
    <w:p w14:paraId="2205123E" w14:textId="7D0C95AC" w:rsidR="00FA3FE6" w:rsidRPr="00FA3FE6" w:rsidRDefault="00FA3FE6" w:rsidP="00FA3FE6">
      <w:pPr>
        <w:tabs>
          <w:tab w:val="left" w:pos="0"/>
        </w:tabs>
        <w:jc w:val="both"/>
      </w:pPr>
      <w:r>
        <w:t>Viimati nimetatud seisukohast võiks teha järelduse, et huvitatud isikul on subjektiivne õigus sellele, et aukohus vaataks tema taotluse läbi kohases menetluses, ning see õigus võib olla kohtulikult kaitstav. S</w:t>
      </w:r>
      <w:r w:rsidR="7D0FAA46">
        <w:t>eejuures</w:t>
      </w:r>
      <w:r>
        <w:t xml:space="preserve"> võib tõmmata paralleeli Riigikohtu praktikaga järelevalvemenetluse osas, mille kohaselt puudutatud isik (isik, kelle õigusi võib kolmanda isiku õigusvastane tegevus rikkuda) võib nõuda, et järelevalveorgan otsustaks järelevalvemenetluse algatamise või järelevalvemeetme rakendamise üle kaalutlusvigadeta</w:t>
      </w:r>
      <w:r w:rsidR="00DE1DBB">
        <w:t xml:space="preserve">, kui </w:t>
      </w:r>
      <w:r w:rsidR="00DE1DBB">
        <w:lastRenderedPageBreak/>
        <w:t>järelevalvet sätestav õigusnorm kaitseb ka tema õigushüve</w:t>
      </w:r>
      <w:r>
        <w:t xml:space="preserve"> (vt nt </w:t>
      </w:r>
      <w:r w:rsidR="006F6D3E">
        <w:t xml:space="preserve">23.03.2016 </w:t>
      </w:r>
      <w:proofErr w:type="spellStart"/>
      <w:r w:rsidR="00196F05">
        <w:t>RKHKo</w:t>
      </w:r>
      <w:proofErr w:type="spellEnd"/>
      <w:r w:rsidR="00196F05">
        <w:t xml:space="preserve"> </w:t>
      </w:r>
      <w:r>
        <w:t xml:space="preserve">asjas nr </w:t>
      </w:r>
      <w:hyperlink r:id="rId13">
        <w:r w:rsidR="006C3507" w:rsidRPr="405292D8">
          <w:rPr>
            <w:rStyle w:val="Hyperlink"/>
          </w:rPr>
          <w:t>3-3-1-85-15</w:t>
        </w:r>
      </w:hyperlink>
      <w:r>
        <w:t xml:space="preserve">, p 13; </w:t>
      </w:r>
      <w:r w:rsidR="00702C9B">
        <w:t xml:space="preserve">13.10.2010 </w:t>
      </w:r>
      <w:proofErr w:type="spellStart"/>
      <w:r w:rsidR="00395E66">
        <w:t>RKHKo</w:t>
      </w:r>
      <w:proofErr w:type="spellEnd"/>
      <w:r w:rsidR="00395E66">
        <w:t xml:space="preserve"> </w:t>
      </w:r>
      <w:r>
        <w:t xml:space="preserve">asjas nr </w:t>
      </w:r>
      <w:hyperlink r:id="rId14">
        <w:r w:rsidR="00507D53" w:rsidRPr="405292D8">
          <w:rPr>
            <w:rStyle w:val="Hyperlink"/>
          </w:rPr>
          <w:t>3-3-1-44-10</w:t>
        </w:r>
      </w:hyperlink>
      <w:r w:rsidR="004C48BD">
        <w:t xml:space="preserve"> </w:t>
      </w:r>
      <w:r>
        <w:t xml:space="preserve">, p 15; </w:t>
      </w:r>
      <w:r w:rsidR="00072983">
        <w:t xml:space="preserve">23.10.2013 </w:t>
      </w:r>
      <w:proofErr w:type="spellStart"/>
      <w:r w:rsidR="00EB6C7C">
        <w:t>RKHKm</w:t>
      </w:r>
      <w:proofErr w:type="spellEnd"/>
      <w:r w:rsidR="00EB6C7C">
        <w:t xml:space="preserve"> </w:t>
      </w:r>
      <w:r>
        <w:t xml:space="preserve">asjas nr </w:t>
      </w:r>
      <w:hyperlink r:id="rId15">
        <w:r w:rsidR="003F26AC" w:rsidRPr="405292D8">
          <w:rPr>
            <w:rStyle w:val="Hyperlink"/>
          </w:rPr>
          <w:t>3-3-1-29-13</w:t>
        </w:r>
      </w:hyperlink>
      <w:r>
        <w:t>, p 17</w:t>
      </w:r>
      <w:r w:rsidR="00D3494C">
        <w:t xml:space="preserve"> ja </w:t>
      </w:r>
      <w:r w:rsidR="00D147FB">
        <w:t xml:space="preserve">22.10.2014 </w:t>
      </w:r>
      <w:proofErr w:type="spellStart"/>
      <w:r w:rsidR="003F26AC">
        <w:t>RKHKo</w:t>
      </w:r>
      <w:proofErr w:type="spellEnd"/>
      <w:r w:rsidR="003F26AC">
        <w:t xml:space="preserve"> </w:t>
      </w:r>
      <w:r>
        <w:t xml:space="preserve">nr </w:t>
      </w:r>
      <w:hyperlink r:id="rId16">
        <w:r w:rsidR="006F6D3E" w:rsidRPr="405292D8">
          <w:rPr>
            <w:rStyle w:val="Hyperlink"/>
          </w:rPr>
          <w:t>3-3-1-42-14</w:t>
        </w:r>
      </w:hyperlink>
      <w:r w:rsidR="006F6D3E">
        <w:t xml:space="preserve"> </w:t>
      </w:r>
      <w:r>
        <w:t>, p 12).</w:t>
      </w:r>
    </w:p>
    <w:p w14:paraId="37999470" w14:textId="77777777" w:rsidR="00FA3FE6" w:rsidRPr="00FA3FE6" w:rsidRDefault="00FA3FE6" w:rsidP="00FA3FE6">
      <w:pPr>
        <w:tabs>
          <w:tab w:val="left" w:pos="0"/>
        </w:tabs>
        <w:jc w:val="both"/>
        <w:rPr>
          <w:szCs w:val="24"/>
        </w:rPr>
      </w:pPr>
      <w:r w:rsidRPr="00FA3FE6">
        <w:rPr>
          <w:szCs w:val="24"/>
        </w:rPr>
        <w:t> </w:t>
      </w:r>
    </w:p>
    <w:p w14:paraId="19E06435" w14:textId="5CC221E8" w:rsidR="00FA3FE6" w:rsidRPr="00FA3FE6" w:rsidRDefault="0BFE509F" w:rsidP="00FA3FE6">
      <w:pPr>
        <w:tabs>
          <w:tab w:val="left" w:pos="0"/>
        </w:tabs>
        <w:jc w:val="both"/>
      </w:pPr>
      <w:r>
        <w:t xml:space="preserve">Siiski ei saa </w:t>
      </w:r>
      <w:r w:rsidR="123CE280">
        <w:t>a</w:t>
      </w:r>
      <w:r w:rsidR="7F043A95">
        <w:t>dvokatuuri aukohtu otsuste vaidlustamise puhul</w:t>
      </w:r>
      <w:r w:rsidR="00FA3FE6">
        <w:t xml:space="preserve"> rääkida huvitatud isiku subjektiivsest õigusest, mis peab igal juhul olema kohtulikult kaitstav ning mille piiramine võib olla vastuolus PS §-</w:t>
      </w:r>
      <w:proofErr w:type="spellStart"/>
      <w:r w:rsidR="00FA3FE6">
        <w:t>idega</w:t>
      </w:r>
      <w:proofErr w:type="spellEnd"/>
      <w:r w:rsidR="00FA3FE6">
        <w:t xml:space="preserve"> 14 ja 15. Seda nimelt esiteks põhjusel, et Riigikohtu praktika järelevalvemenetluse kohta ei ole ülekantav suhetele aukohtu ja advokaadi vahel. Nimelt ei toimu aukohtu tegevus kolmandate isikute huvides, vaid aukohus on advokatuuri siseorgan. Advokatuur on omakorda kutseorganisatsioon, millel on lai autonoomia ehk enesekorraldusõigus. Seevastu riiklik järelevalve toimub sageli avalike huvide kõrval ka erahuvides. Näiteks on Riigikohus leidnud, et Konkurentsiameti järelevalve ülesanne on kaitsta ka turuosaliste õigusi, nt omandi vaba kasutamise õigust, lepinguvabadust (PS § 32 lg 2 esimene lause) ning ettevõtlusvabadust (PS § 31 esimene lause) (23.10.2013 </w:t>
      </w:r>
      <w:proofErr w:type="spellStart"/>
      <w:r w:rsidR="008A2F4D">
        <w:t>RKHKm</w:t>
      </w:r>
      <w:proofErr w:type="spellEnd"/>
      <w:r w:rsidR="008A2F4D">
        <w:t xml:space="preserve"> asjas </w:t>
      </w:r>
      <w:r w:rsidR="00FA3FE6">
        <w:t xml:space="preserve">nr </w:t>
      </w:r>
      <w:hyperlink r:id="rId17">
        <w:r w:rsidR="005B5BD7" w:rsidRPr="405292D8">
          <w:rPr>
            <w:rStyle w:val="Hyperlink"/>
          </w:rPr>
          <w:t>3-3-1-29-13</w:t>
        </w:r>
      </w:hyperlink>
      <w:r w:rsidR="00FA3FE6">
        <w:t>, p 17).</w:t>
      </w:r>
    </w:p>
    <w:p w14:paraId="5070FEB9" w14:textId="77777777" w:rsidR="00FA3FE6" w:rsidRPr="00FA3FE6" w:rsidRDefault="00FA3FE6" w:rsidP="00FA3FE6">
      <w:pPr>
        <w:tabs>
          <w:tab w:val="left" w:pos="0"/>
        </w:tabs>
        <w:jc w:val="both"/>
        <w:rPr>
          <w:szCs w:val="24"/>
        </w:rPr>
      </w:pPr>
      <w:r w:rsidRPr="00FA3FE6">
        <w:rPr>
          <w:szCs w:val="24"/>
        </w:rPr>
        <w:t> </w:t>
      </w:r>
    </w:p>
    <w:p w14:paraId="19E8E543" w14:textId="6E8FD796" w:rsidR="00FA3FE6" w:rsidRPr="00FA3FE6" w:rsidRDefault="00FA3FE6">
      <w:pPr>
        <w:tabs>
          <w:tab w:val="left" w:pos="0"/>
        </w:tabs>
        <w:jc w:val="both"/>
      </w:pPr>
      <w:r>
        <w:t xml:space="preserve">Riigikohus on osutatud kohtupraktikas järelevalvemenetluse kohta läbivalt viidanud, et isikul on nõudeõigus sellele, et järelevalveorgan otsustaks järelevalvemenetluse algatamise või järelevalvemeetme rakendamise küsimuse kaalutlusvigadeta vaid siis, kui järelevalvet sätestav õigusnorm kaitseb ka tema õigushüve. </w:t>
      </w:r>
      <w:r w:rsidR="1742101D">
        <w:t xml:space="preserve">Advokatuuri </w:t>
      </w:r>
      <w:proofErr w:type="spellStart"/>
      <w:r w:rsidR="1742101D">
        <w:t>aukohtumenetluse</w:t>
      </w:r>
      <w:proofErr w:type="spellEnd"/>
      <w:r w:rsidR="1742101D">
        <w:t xml:space="preserve"> puhul</w:t>
      </w:r>
      <w:r>
        <w:t xml:space="preserve"> see nii ei ole – kohtupraktikas on läbivalt leitud, et </w:t>
      </w:r>
      <w:proofErr w:type="spellStart"/>
      <w:r>
        <w:t>aukohtumenetlus</w:t>
      </w:r>
      <w:proofErr w:type="spellEnd"/>
      <w:r>
        <w:t xml:space="preserve"> ei ole ette nähtud huvitatud isiku subjektiivsete õiguste kaitseks, vaid tegemist on advokatuuri internse kontrolliga oma liikmete üle (</w:t>
      </w:r>
      <w:r w:rsidR="03135741">
        <w:t xml:space="preserve">vt nt </w:t>
      </w:r>
      <w:r>
        <w:t>Tallinna Ringkonnakohtu 11.09.2014 määrus asjas nr 3-14-51432, p 6). See tähendab, et aukohtu menetluse tulemusel puudub huvitatud isiku õigustele mis tahes mõju ning seetõttu ei saa aukohtu tegevust sätestavad õigusnormid kaitsta tema õigushüvesid.</w:t>
      </w:r>
    </w:p>
    <w:p w14:paraId="16AFFDF4" w14:textId="77777777" w:rsidR="00FA3FE6" w:rsidRPr="00FA3FE6" w:rsidRDefault="00FA3FE6" w:rsidP="00FA3FE6">
      <w:pPr>
        <w:tabs>
          <w:tab w:val="left" w:pos="0"/>
        </w:tabs>
        <w:jc w:val="both"/>
        <w:rPr>
          <w:szCs w:val="24"/>
        </w:rPr>
      </w:pPr>
      <w:r w:rsidRPr="00FA3FE6">
        <w:rPr>
          <w:szCs w:val="24"/>
        </w:rPr>
        <w:t> </w:t>
      </w:r>
    </w:p>
    <w:p w14:paraId="78AE3F78" w14:textId="2C88410A" w:rsidR="00FA3FE6" w:rsidRPr="00FA3FE6" w:rsidRDefault="00FA3FE6" w:rsidP="11D90FF8">
      <w:pPr>
        <w:tabs>
          <w:tab w:val="left" w:pos="0"/>
        </w:tabs>
        <w:jc w:val="both"/>
      </w:pPr>
      <w:proofErr w:type="spellStart"/>
      <w:r>
        <w:t>Aukohtumenetluse</w:t>
      </w:r>
      <w:proofErr w:type="spellEnd"/>
      <w:r>
        <w:t xml:space="preserve"> tulemus ei kaitse huvitatud isiku subjektiivseid õigusi isegi advokaadi karistamise korral. Kuid just advokaadi karistamine on reeglina aukohtu otsuse vaidlustamise eesmärgiks </w:t>
      </w:r>
      <w:r w:rsidR="3EF09802">
        <w:t>huvitatud</w:t>
      </w:r>
      <w:r>
        <w:t xml:space="preserve"> isiku poolt. Advokaadi karistamise monopol on </w:t>
      </w:r>
      <w:r w:rsidR="00A05BA7">
        <w:t>a</w:t>
      </w:r>
      <w:r>
        <w:t xml:space="preserve">dvokatuuril. </w:t>
      </w:r>
      <w:r w:rsidR="4B83CFA3">
        <w:t>A</w:t>
      </w:r>
      <w:r>
        <w:t>naloogi</w:t>
      </w:r>
      <w:r w:rsidR="2EC8A2A3">
        <w:t>liselt</w:t>
      </w:r>
      <w:r>
        <w:t xml:space="preserve"> </w:t>
      </w:r>
      <w:r w:rsidR="042B23B9">
        <w:t xml:space="preserve">on </w:t>
      </w:r>
      <w:r>
        <w:t>Riigikohus leidnud</w:t>
      </w:r>
      <w:r w:rsidR="2C5CB310">
        <w:t xml:space="preserve"> näiteks</w:t>
      </w:r>
      <w:r>
        <w:t>, et tulenevalt riigi karistusvõimu monopolist ei ole kellelgi õigus nõuda riigilt tema õigusi kahjustanud isiku kriminaalkorras süüditunnistamist ja karistamist. Riigikohus põhjendas seda muuhulgas ka sellega, et kannatanu saab oma õigusi kaitsta ka teistes menetlustes (</w:t>
      </w:r>
      <w:r w:rsidR="00A46AE1">
        <w:t xml:space="preserve">15.03.2006 </w:t>
      </w:r>
      <w:proofErr w:type="spellStart"/>
      <w:r>
        <w:t>RKKKm</w:t>
      </w:r>
      <w:proofErr w:type="spellEnd"/>
      <w:r>
        <w:t xml:space="preserve"> </w:t>
      </w:r>
      <w:hyperlink r:id="rId18">
        <w:r w:rsidR="00A46AE1" w:rsidRPr="405292D8">
          <w:rPr>
            <w:rStyle w:val="Hyperlink"/>
          </w:rPr>
          <w:t>3-1-1-18-06</w:t>
        </w:r>
      </w:hyperlink>
      <w:r>
        <w:t xml:space="preserve">, p 7). Aukohtusse kaebajal on </w:t>
      </w:r>
      <w:r w:rsidR="20CAD477">
        <w:t xml:space="preserve">samuti </w:t>
      </w:r>
      <w:r>
        <w:t>muud võimalused oma õiguste kohtulikuks kaitseks. Kliendisuhte olemasolul on võimalik kasutada advokaadi vastu kliendilepingust tulenevaid õiguskaitsevahendeid ning kliendisuhte puudumisel on võimalik esitada lepinguväliseid nõudeid (nt deliktiõigusest või käsundita asjaajamisest). Seega ei riku aukohtu otsuse vaidlustamise piiramine huvitatud isiku PS §-ist 15 tulenevat põhiõigust tõhusale kohtulikule kaitsele.</w:t>
      </w:r>
    </w:p>
    <w:p w14:paraId="0FFC8C36" w14:textId="77777777" w:rsidR="001B693E" w:rsidRPr="00FA3FE6" w:rsidRDefault="001B693E" w:rsidP="00FA3FE6">
      <w:pPr>
        <w:tabs>
          <w:tab w:val="left" w:pos="0"/>
        </w:tabs>
        <w:jc w:val="both"/>
        <w:rPr>
          <w:szCs w:val="24"/>
        </w:rPr>
      </w:pPr>
    </w:p>
    <w:p w14:paraId="76AA76B7" w14:textId="70D23A74" w:rsidR="00FA3FE6" w:rsidRDefault="00FA3FE6" w:rsidP="405292D8">
      <w:pPr>
        <w:tabs>
          <w:tab w:val="left" w:pos="0"/>
        </w:tabs>
        <w:jc w:val="both"/>
      </w:pPr>
      <w:r>
        <w:t xml:space="preserve">Arvestades </w:t>
      </w:r>
      <w:proofErr w:type="spellStart"/>
      <w:r>
        <w:t>AdvS</w:t>
      </w:r>
      <w:proofErr w:type="spellEnd"/>
      <w:r>
        <w:t xml:space="preserve"> § 18 </w:t>
      </w:r>
      <w:proofErr w:type="spellStart"/>
      <w:r>
        <w:t>lg-s</w:t>
      </w:r>
      <w:proofErr w:type="spellEnd"/>
      <w:r>
        <w:t xml:space="preserve"> 1 kehtestatavat kaebeõiguse piirangut</w:t>
      </w:r>
      <w:r w:rsidR="70BB424F">
        <w:t xml:space="preserve"> teeme ettepaneku</w:t>
      </w:r>
      <w:r>
        <w:t xml:space="preserve"> viia § 4 lõikesse 5 sisse täpsustus, et advokatuuri organi õigusakti või toimingu peale võib huvitatud isik kaebuse halduskohtule esitada</w:t>
      </w:r>
      <w:r w:rsidR="621913F5">
        <w:t>, kui õigusakt või toiming rikub huvitatud isiku õigusi</w:t>
      </w:r>
      <w:r>
        <w:t xml:space="preserve"> arvestades käesoleva seadusega sätestatud erisusi.</w:t>
      </w:r>
    </w:p>
    <w:p w14:paraId="302EABE8" w14:textId="77777777" w:rsidR="00A16323" w:rsidRDefault="00A16323" w:rsidP="00FA3FE6">
      <w:pPr>
        <w:tabs>
          <w:tab w:val="left" w:pos="0"/>
        </w:tabs>
        <w:jc w:val="both"/>
        <w:rPr>
          <w:szCs w:val="24"/>
        </w:rPr>
      </w:pPr>
    </w:p>
    <w:p w14:paraId="4493DA3A" w14:textId="32FAC7A9" w:rsidR="003F16E1" w:rsidRPr="003F16E1" w:rsidRDefault="00A16323" w:rsidP="003F16E1">
      <w:pPr>
        <w:tabs>
          <w:tab w:val="left" w:pos="0"/>
        </w:tabs>
        <w:jc w:val="both"/>
      </w:pPr>
      <w:r>
        <w:t xml:space="preserve">Advokatuuri statistika kohaselt on </w:t>
      </w:r>
      <w:r w:rsidR="00CA46C9">
        <w:t xml:space="preserve">advokaatide osas aukohtusse kaebuse esitanud isikud </w:t>
      </w:r>
      <w:r>
        <w:t xml:space="preserve">aastatel 2022-2025 </w:t>
      </w:r>
      <w:r w:rsidR="4B7DD451">
        <w:t xml:space="preserve">esitanud </w:t>
      </w:r>
      <w:r>
        <w:t xml:space="preserve">halduskohtule 24 kaebust, milles vaidlustati advokatuuri aukohtu otsuseid või menetlustoiminguid. Kõikide </w:t>
      </w:r>
      <w:r w:rsidR="68AAB73B">
        <w:t xml:space="preserve">selliste </w:t>
      </w:r>
      <w:r>
        <w:t>kaebuste puhul leidis kohus, et kaebajatel puudub</w:t>
      </w:r>
      <w:r w:rsidR="00CC5273">
        <w:t xml:space="preserve"> </w:t>
      </w:r>
      <w:r>
        <w:t xml:space="preserve">kaebeõigus või oli võimalik õiguste riive väheintensiivne, mistõttu jäeti kaebused läbi vaatamata ning üheski asjas ei jõutud sisulise kohtuliku kontrollini. </w:t>
      </w:r>
      <w:r w:rsidR="003F16E1">
        <w:t xml:space="preserve">Seega on antud vallas kohtupraktika välja kujunenud ja taoliste perspektiivitute kaebuste formaalne menetlemine </w:t>
      </w:r>
      <w:r w:rsidR="003F16E1">
        <w:lastRenderedPageBreak/>
        <w:t xml:space="preserve">koormab tarbetult halduskohut, millest võib eos loobuda kohtu töökoormuse vähendamiseks. </w:t>
      </w:r>
    </w:p>
    <w:p w14:paraId="04992EBD" w14:textId="28E61F70" w:rsidR="00FA3FE6" w:rsidRPr="00FA3FE6" w:rsidRDefault="00FA3FE6" w:rsidP="00FA3FE6">
      <w:pPr>
        <w:tabs>
          <w:tab w:val="left" w:pos="0"/>
        </w:tabs>
        <w:jc w:val="both"/>
        <w:rPr>
          <w:szCs w:val="24"/>
        </w:rPr>
      </w:pPr>
    </w:p>
    <w:p w14:paraId="6DAD56A9" w14:textId="4941CBBE" w:rsidR="00C40293" w:rsidRDefault="00C40293" w:rsidP="00C40293">
      <w:pPr>
        <w:tabs>
          <w:tab w:val="left" w:pos="0"/>
        </w:tabs>
        <w:jc w:val="both"/>
      </w:pPr>
      <w:r>
        <w:t>Kaebeõigus</w:t>
      </w:r>
      <w:r w:rsidR="002B3074">
        <w:t>e</w:t>
      </w:r>
      <w:r>
        <w:t xml:space="preserve"> </w:t>
      </w:r>
      <w:r w:rsidR="002B3074">
        <w:t xml:space="preserve">kirjeldatud </w:t>
      </w:r>
      <w:r w:rsidR="00BE2CEF">
        <w:t xml:space="preserve">viisil </w:t>
      </w:r>
      <w:r w:rsidR="006F01AA">
        <w:t xml:space="preserve">piiramine omab </w:t>
      </w:r>
      <w:r w:rsidR="009C5167">
        <w:t>positiivset</w:t>
      </w:r>
      <w:r w:rsidR="006F01AA">
        <w:t xml:space="preserve"> mõju halduskohtute töökoormuse</w:t>
      </w:r>
      <w:r w:rsidR="7873DFD4">
        <w:t>le</w:t>
      </w:r>
      <w:r w:rsidR="006F01AA">
        <w:t xml:space="preserve"> </w:t>
      </w:r>
      <w:r w:rsidR="005662CF">
        <w:t>järgnevalt</w:t>
      </w:r>
      <w:r>
        <w:t>:</w:t>
      </w:r>
    </w:p>
    <w:p w14:paraId="61E40D9A" w14:textId="77777777" w:rsidR="0032048D" w:rsidRPr="00C40293" w:rsidRDefault="0032048D" w:rsidP="00C40293">
      <w:pPr>
        <w:tabs>
          <w:tab w:val="left" w:pos="0"/>
        </w:tabs>
        <w:jc w:val="both"/>
        <w:rPr>
          <w:szCs w:val="24"/>
        </w:rPr>
      </w:pPr>
    </w:p>
    <w:p w14:paraId="2DE28742" w14:textId="4F192A8E" w:rsidR="00C40293" w:rsidRPr="00C40293" w:rsidRDefault="00C40293" w:rsidP="00C40293">
      <w:pPr>
        <w:numPr>
          <w:ilvl w:val="0"/>
          <w:numId w:val="18"/>
        </w:numPr>
        <w:tabs>
          <w:tab w:val="left" w:pos="0"/>
        </w:tabs>
        <w:jc w:val="both"/>
      </w:pPr>
      <w:r>
        <w:t>vähene</w:t>
      </w:r>
      <w:r w:rsidR="00697788">
        <w:t>b</w:t>
      </w:r>
      <w:r>
        <w:t xml:space="preserve"> </w:t>
      </w:r>
      <w:r w:rsidR="618D9EF0">
        <w:t xml:space="preserve">perspektiivitute </w:t>
      </w:r>
      <w:r>
        <w:t>kohtuasjade arv, kuna kaebused, mille eesmärk ei ole subjektiivsete õiguste kaitse, ei jõua enam halduskohtusse;</w:t>
      </w:r>
    </w:p>
    <w:p w14:paraId="1197C980" w14:textId="77777777" w:rsidR="00C40293" w:rsidRPr="00C40293" w:rsidRDefault="00C40293" w:rsidP="00C40293">
      <w:pPr>
        <w:numPr>
          <w:ilvl w:val="0"/>
          <w:numId w:val="18"/>
        </w:numPr>
        <w:tabs>
          <w:tab w:val="left" w:pos="0"/>
        </w:tabs>
        <w:jc w:val="both"/>
        <w:rPr>
          <w:szCs w:val="24"/>
        </w:rPr>
      </w:pPr>
      <w:r w:rsidRPr="00C40293">
        <w:rPr>
          <w:szCs w:val="24"/>
        </w:rPr>
        <w:t>suurendatakse menetlusökonoomiat ja kohturessursi tõhusat kasutamist, vältides advokatuuri autonoomiale kuuluvate küsimuste lahendamist halduskohtus;</w:t>
      </w:r>
    </w:p>
    <w:p w14:paraId="0719F2E5" w14:textId="77777777" w:rsidR="00C40293" w:rsidRPr="00C40293" w:rsidRDefault="00C40293" w:rsidP="00C40293">
      <w:pPr>
        <w:numPr>
          <w:ilvl w:val="0"/>
          <w:numId w:val="18"/>
        </w:numPr>
        <w:tabs>
          <w:tab w:val="left" w:pos="0"/>
        </w:tabs>
        <w:jc w:val="both"/>
        <w:rPr>
          <w:szCs w:val="24"/>
        </w:rPr>
      </w:pPr>
      <w:r w:rsidRPr="00C40293">
        <w:rPr>
          <w:szCs w:val="24"/>
        </w:rPr>
        <w:t xml:space="preserve">välditakse </w:t>
      </w:r>
      <w:proofErr w:type="spellStart"/>
      <w:r w:rsidRPr="00C40293">
        <w:rPr>
          <w:szCs w:val="24"/>
        </w:rPr>
        <w:t>topeltmenetlust</w:t>
      </w:r>
      <w:proofErr w:type="spellEnd"/>
      <w:r w:rsidRPr="00C40293">
        <w:rPr>
          <w:szCs w:val="24"/>
        </w:rPr>
        <w:t xml:space="preserve">, kuna huvitatud isikul jäävad alles alternatiivsed õiguskaitsevahendid (nt kliendilepingust tulenevad nõuded või deliktiõiguslikud nõuded), ilma et oleks vaja kaasata halduskohut advokatuuri </w:t>
      </w:r>
      <w:proofErr w:type="spellStart"/>
      <w:r w:rsidRPr="00C40293">
        <w:rPr>
          <w:szCs w:val="24"/>
        </w:rPr>
        <w:t>siseotsuste</w:t>
      </w:r>
      <w:proofErr w:type="spellEnd"/>
      <w:r w:rsidRPr="00C40293">
        <w:rPr>
          <w:szCs w:val="24"/>
        </w:rPr>
        <w:t xml:space="preserve"> kontrolli.</w:t>
      </w:r>
    </w:p>
    <w:p w14:paraId="331AB0CB" w14:textId="77777777" w:rsidR="00FE13F2" w:rsidRDefault="00FE13F2" w:rsidP="005F0EEC">
      <w:pPr>
        <w:tabs>
          <w:tab w:val="left" w:pos="0"/>
        </w:tabs>
        <w:jc w:val="both"/>
        <w:rPr>
          <w:szCs w:val="24"/>
        </w:rPr>
      </w:pPr>
    </w:p>
    <w:p w14:paraId="06827542" w14:textId="2C19CCDB" w:rsidR="00FE13F2" w:rsidRDefault="5EC8ED7B" w:rsidP="005F0EEC">
      <w:pPr>
        <w:tabs>
          <w:tab w:val="left" w:pos="0"/>
        </w:tabs>
        <w:jc w:val="both"/>
      </w:pPr>
      <w:r>
        <w:t xml:space="preserve">Palume lisada kirjeldatud advokatuuriseaduse muudatus halduskohtumenetluse seadustiku muutmise seaduse eelnõusse. Vajadusel </w:t>
      </w:r>
      <w:r w:rsidR="004DBDEC">
        <w:t xml:space="preserve">oleme valmis täiendavateks aruteludeks. </w:t>
      </w:r>
    </w:p>
    <w:p w14:paraId="5738B2A1" w14:textId="2C19D84F" w:rsidR="15A43D48" w:rsidRDefault="15A43D48" w:rsidP="15A43D48">
      <w:pPr>
        <w:tabs>
          <w:tab w:val="left" w:pos="0"/>
        </w:tabs>
        <w:jc w:val="both"/>
      </w:pPr>
    </w:p>
    <w:p w14:paraId="3631D076" w14:textId="77777777" w:rsidR="00936CA5" w:rsidRPr="00CF392C" w:rsidRDefault="00936CA5" w:rsidP="005F0EEC">
      <w:pPr>
        <w:jc w:val="both"/>
        <w:rPr>
          <w:szCs w:val="24"/>
        </w:rPr>
      </w:pPr>
    </w:p>
    <w:p w14:paraId="66C691D7" w14:textId="77777777" w:rsidR="005A4253" w:rsidRDefault="005A4253" w:rsidP="005F0EEC">
      <w:pPr>
        <w:jc w:val="both"/>
        <w:rPr>
          <w:szCs w:val="24"/>
        </w:rPr>
      </w:pPr>
    </w:p>
    <w:p w14:paraId="7BBDD0BE" w14:textId="77777777" w:rsidR="005A4253" w:rsidRDefault="005A4253" w:rsidP="005F0EEC">
      <w:pPr>
        <w:jc w:val="both"/>
        <w:rPr>
          <w:szCs w:val="24"/>
        </w:rPr>
      </w:pPr>
    </w:p>
    <w:p w14:paraId="3894BA9D" w14:textId="0557289D" w:rsidR="0019780D" w:rsidRPr="00CF392C" w:rsidRDefault="0019780D" w:rsidP="005F0EEC">
      <w:pPr>
        <w:jc w:val="both"/>
        <w:rPr>
          <w:b/>
          <w:bCs/>
          <w:szCs w:val="24"/>
        </w:rPr>
      </w:pPr>
      <w:r w:rsidRPr="00CF392C">
        <w:rPr>
          <w:szCs w:val="24"/>
        </w:rPr>
        <w:t>Lugupidamisega</w:t>
      </w:r>
    </w:p>
    <w:p w14:paraId="3CC7F4BF" w14:textId="77777777" w:rsidR="0019780D" w:rsidRPr="00CF392C" w:rsidRDefault="0019780D" w:rsidP="005F0EEC">
      <w:pPr>
        <w:pStyle w:val="Body"/>
        <w:jc w:val="both"/>
        <w:rPr>
          <w:rFonts w:cs="Times New Roman"/>
          <w:i/>
          <w:iCs/>
        </w:rPr>
      </w:pPr>
    </w:p>
    <w:p w14:paraId="5E0529D0" w14:textId="77777777" w:rsidR="0019780D" w:rsidRPr="00CF392C" w:rsidRDefault="0019780D" w:rsidP="005F0EEC">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5F0EEC">
      <w:pPr>
        <w:pStyle w:val="Body"/>
        <w:jc w:val="both"/>
        <w:rPr>
          <w:rFonts w:cs="Times New Roman"/>
        </w:rPr>
      </w:pPr>
    </w:p>
    <w:p w14:paraId="3CE7CF0B" w14:textId="77777777" w:rsidR="0019780D" w:rsidRPr="00CF392C" w:rsidRDefault="0019780D" w:rsidP="005F0EEC">
      <w:pPr>
        <w:pStyle w:val="Body"/>
        <w:jc w:val="both"/>
        <w:rPr>
          <w:rFonts w:cs="Times New Roman"/>
        </w:rPr>
      </w:pPr>
      <w:r w:rsidRPr="00CF392C">
        <w:rPr>
          <w:rFonts w:cs="Times New Roman"/>
        </w:rPr>
        <w:t>Imbi Jürgen</w:t>
      </w:r>
    </w:p>
    <w:p w14:paraId="23FEBFCD" w14:textId="77777777" w:rsidR="0019780D" w:rsidRDefault="0019780D" w:rsidP="005F0EEC">
      <w:pPr>
        <w:pStyle w:val="Body"/>
        <w:jc w:val="both"/>
        <w:rPr>
          <w:rFonts w:cs="Times New Roman"/>
        </w:rPr>
      </w:pPr>
      <w:r w:rsidRPr="00CF392C">
        <w:rPr>
          <w:rFonts w:cs="Times New Roman"/>
        </w:rPr>
        <w:t>Esimees</w:t>
      </w:r>
    </w:p>
    <w:p w14:paraId="65147281" w14:textId="77777777" w:rsidR="007328A9" w:rsidRDefault="007328A9" w:rsidP="005F0EEC">
      <w:pPr>
        <w:pStyle w:val="Body"/>
        <w:jc w:val="both"/>
        <w:rPr>
          <w:rFonts w:cs="Times New Roman"/>
        </w:rPr>
      </w:pPr>
    </w:p>
    <w:p w14:paraId="25009F17" w14:textId="77777777" w:rsidR="00731E52" w:rsidRDefault="00731E52" w:rsidP="005F0EEC">
      <w:pPr>
        <w:pStyle w:val="Body"/>
        <w:jc w:val="both"/>
        <w:rPr>
          <w:rFonts w:cs="Times New Roman"/>
        </w:rPr>
      </w:pPr>
    </w:p>
    <w:p w14:paraId="79766467" w14:textId="77777777" w:rsidR="00731E52" w:rsidRPr="00CF392C" w:rsidRDefault="00731E52" w:rsidP="005F0EEC">
      <w:pPr>
        <w:pStyle w:val="Body"/>
        <w:jc w:val="both"/>
        <w:rPr>
          <w:rFonts w:cs="Times New Roman"/>
        </w:rPr>
      </w:pPr>
    </w:p>
    <w:p w14:paraId="0A20B27E" w14:textId="77777777" w:rsidR="0060121B" w:rsidRDefault="0060121B" w:rsidP="005F0EEC">
      <w:pPr>
        <w:pStyle w:val="Body"/>
        <w:jc w:val="both"/>
        <w:rPr>
          <w:rFonts w:cs="Times New Roman"/>
        </w:rPr>
      </w:pPr>
    </w:p>
    <w:p w14:paraId="441683FB" w14:textId="77777777" w:rsidR="0019780D" w:rsidRPr="00CF392C" w:rsidRDefault="0019780D" w:rsidP="005F0EEC">
      <w:pPr>
        <w:pStyle w:val="Body"/>
        <w:jc w:val="both"/>
        <w:rPr>
          <w:rFonts w:cs="Times New Roman"/>
        </w:rPr>
      </w:pPr>
      <w:r w:rsidRPr="00CF392C">
        <w:rPr>
          <w:rFonts w:cs="Times New Roman"/>
        </w:rPr>
        <w:t>Merit Aavekukk-Tamm 6979 253</w:t>
      </w:r>
    </w:p>
    <w:p w14:paraId="2ED21D02" w14:textId="77777777" w:rsidR="0019780D" w:rsidRPr="00CF392C" w:rsidRDefault="0019780D" w:rsidP="005F0EEC">
      <w:pPr>
        <w:pStyle w:val="Body"/>
        <w:jc w:val="both"/>
        <w:rPr>
          <w:rFonts w:cs="Times New Roman"/>
        </w:rPr>
      </w:pPr>
      <w:r w:rsidRPr="00CF392C">
        <w:rPr>
          <w:rFonts w:cs="Times New Roman"/>
        </w:rPr>
        <w:t>merit.aavekukk-tamm@advokatuur.ee</w:t>
      </w:r>
    </w:p>
    <w:p w14:paraId="09DF826D" w14:textId="77777777" w:rsidR="007C1294" w:rsidRPr="00CF392C" w:rsidRDefault="007C1294" w:rsidP="005F0EEC">
      <w:pPr>
        <w:widowControl/>
        <w:suppressAutoHyphens w:val="0"/>
        <w:spacing w:after="200"/>
        <w:jc w:val="both"/>
        <w:rPr>
          <w:szCs w:val="24"/>
        </w:rPr>
      </w:pPr>
    </w:p>
    <w:sectPr w:rsidR="007C1294" w:rsidRPr="00CF392C" w:rsidSect="009750DC">
      <w:footerReference w:type="default" r:id="rId19"/>
      <w:headerReference w:type="first" r:id="rId20"/>
      <w:footerReference w:type="first" r:id="rId21"/>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9C94A" w14:textId="77777777" w:rsidR="009B5E36" w:rsidRDefault="009B5E36" w:rsidP="00F636B5">
      <w:r>
        <w:separator/>
      </w:r>
    </w:p>
  </w:endnote>
  <w:endnote w:type="continuationSeparator" w:id="0">
    <w:p w14:paraId="20A60D60" w14:textId="77777777" w:rsidR="009B5E36" w:rsidRDefault="009B5E36"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proofErr w:type="spellStart"/>
    <w:r w:rsidRPr="008A5914">
      <w:rPr>
        <w:rFonts w:ascii="Times New Roman" w:hAnsi="Times New Roman" w:cs="Times New Roman"/>
        <w:sz w:val="24"/>
        <w:szCs w:val="24"/>
      </w:rPr>
      <w:t>Reg</w:t>
    </w:r>
    <w:proofErr w:type="spellEnd"/>
    <w:r w:rsidRPr="008A5914">
      <w:rPr>
        <w:rFonts w:ascii="Times New Roman" w:hAnsi="Times New Roman" w:cs="Times New Roman"/>
        <w:sz w:val="24"/>
        <w:szCs w:val="24"/>
      </w:rPr>
      <w:t xml:space="preserve">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5C32C" w14:textId="77777777" w:rsidR="009B5E36" w:rsidRDefault="009B5E36" w:rsidP="00F636B5">
      <w:r>
        <w:separator/>
      </w:r>
    </w:p>
  </w:footnote>
  <w:footnote w:type="continuationSeparator" w:id="0">
    <w:p w14:paraId="222DCE12" w14:textId="77777777" w:rsidR="009B5E36" w:rsidRDefault="009B5E36" w:rsidP="00F63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803768504">
    <w:abstractNumId w:val="9"/>
  </w:num>
  <w:num w:numId="2" w16cid:durableId="1646662979">
    <w:abstractNumId w:val="6"/>
  </w:num>
  <w:num w:numId="3" w16cid:durableId="670370934">
    <w:abstractNumId w:val="11"/>
  </w:num>
  <w:num w:numId="4" w16cid:durableId="268205002">
    <w:abstractNumId w:val="17"/>
  </w:num>
  <w:num w:numId="5" w16cid:durableId="110756145">
    <w:abstractNumId w:val="15"/>
  </w:num>
  <w:num w:numId="6" w16cid:durableId="1722634604">
    <w:abstractNumId w:val="14"/>
  </w:num>
  <w:num w:numId="7" w16cid:durableId="1745568620">
    <w:abstractNumId w:val="16"/>
  </w:num>
  <w:num w:numId="8" w16cid:durableId="771054327">
    <w:abstractNumId w:val="8"/>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0"/>
  </w:num>
  <w:num w:numId="16" w16cid:durableId="1725255570">
    <w:abstractNumId w:val="13"/>
  </w:num>
  <w:num w:numId="17" w16cid:durableId="1052652794">
    <w:abstractNumId w:val="7"/>
  </w:num>
  <w:num w:numId="18" w16cid:durableId="17669180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05AF1"/>
    <w:rsid w:val="000103A0"/>
    <w:rsid w:val="00013EA5"/>
    <w:rsid w:val="00016530"/>
    <w:rsid w:val="00017824"/>
    <w:rsid w:val="00020876"/>
    <w:rsid w:val="00023C71"/>
    <w:rsid w:val="000303B7"/>
    <w:rsid w:val="00030C84"/>
    <w:rsid w:val="00034835"/>
    <w:rsid w:val="000359CD"/>
    <w:rsid w:val="00044487"/>
    <w:rsid w:val="0004733A"/>
    <w:rsid w:val="00055AD5"/>
    <w:rsid w:val="00055BB1"/>
    <w:rsid w:val="000614B7"/>
    <w:rsid w:val="000724B6"/>
    <w:rsid w:val="00072983"/>
    <w:rsid w:val="00084202"/>
    <w:rsid w:val="0008518C"/>
    <w:rsid w:val="00093B41"/>
    <w:rsid w:val="00095AD0"/>
    <w:rsid w:val="00096371"/>
    <w:rsid w:val="000A0AB3"/>
    <w:rsid w:val="000B3492"/>
    <w:rsid w:val="000B3892"/>
    <w:rsid w:val="000B45E3"/>
    <w:rsid w:val="000C07F6"/>
    <w:rsid w:val="000C0A09"/>
    <w:rsid w:val="000C1A7C"/>
    <w:rsid w:val="000C43DB"/>
    <w:rsid w:val="000C54F1"/>
    <w:rsid w:val="000C75B3"/>
    <w:rsid w:val="000D6865"/>
    <w:rsid w:val="000E2E3A"/>
    <w:rsid w:val="0010575C"/>
    <w:rsid w:val="00105B86"/>
    <w:rsid w:val="001162A8"/>
    <w:rsid w:val="0011768A"/>
    <w:rsid w:val="00117955"/>
    <w:rsid w:val="00117B0A"/>
    <w:rsid w:val="00130A2F"/>
    <w:rsid w:val="00137BFA"/>
    <w:rsid w:val="001427DB"/>
    <w:rsid w:val="00151F19"/>
    <w:rsid w:val="001532C7"/>
    <w:rsid w:val="00157553"/>
    <w:rsid w:val="0016031A"/>
    <w:rsid w:val="001628A5"/>
    <w:rsid w:val="00166AE2"/>
    <w:rsid w:val="00167D51"/>
    <w:rsid w:val="00175322"/>
    <w:rsid w:val="00181B2F"/>
    <w:rsid w:val="001829EC"/>
    <w:rsid w:val="00196F05"/>
    <w:rsid w:val="0019780D"/>
    <w:rsid w:val="001A53E9"/>
    <w:rsid w:val="001B0802"/>
    <w:rsid w:val="001B693E"/>
    <w:rsid w:val="001C5387"/>
    <w:rsid w:val="001D024A"/>
    <w:rsid w:val="001D1053"/>
    <w:rsid w:val="001D45C2"/>
    <w:rsid w:val="001D520B"/>
    <w:rsid w:val="001E09FD"/>
    <w:rsid w:val="001E1BFE"/>
    <w:rsid w:val="001E25D4"/>
    <w:rsid w:val="001F22B4"/>
    <w:rsid w:val="001F434A"/>
    <w:rsid w:val="002013EF"/>
    <w:rsid w:val="002030F0"/>
    <w:rsid w:val="00203AB1"/>
    <w:rsid w:val="002055A5"/>
    <w:rsid w:val="00206ABF"/>
    <w:rsid w:val="002165B6"/>
    <w:rsid w:val="002354B3"/>
    <w:rsid w:val="0023555C"/>
    <w:rsid w:val="00240D3C"/>
    <w:rsid w:val="0024366C"/>
    <w:rsid w:val="0025512D"/>
    <w:rsid w:val="00256769"/>
    <w:rsid w:val="002845FB"/>
    <w:rsid w:val="00287682"/>
    <w:rsid w:val="002A190D"/>
    <w:rsid w:val="002B3074"/>
    <w:rsid w:val="002B6937"/>
    <w:rsid w:val="002B6A92"/>
    <w:rsid w:val="002C1BCE"/>
    <w:rsid w:val="002C2B55"/>
    <w:rsid w:val="002C7008"/>
    <w:rsid w:val="002C7FDA"/>
    <w:rsid w:val="002D3C37"/>
    <w:rsid w:val="002E39A0"/>
    <w:rsid w:val="00303698"/>
    <w:rsid w:val="00312958"/>
    <w:rsid w:val="00315CFF"/>
    <w:rsid w:val="00315D7C"/>
    <w:rsid w:val="00316F56"/>
    <w:rsid w:val="0032048D"/>
    <w:rsid w:val="00333BAD"/>
    <w:rsid w:val="003369BE"/>
    <w:rsid w:val="00343E7D"/>
    <w:rsid w:val="00353D2A"/>
    <w:rsid w:val="003571DF"/>
    <w:rsid w:val="00362EAF"/>
    <w:rsid w:val="003642F2"/>
    <w:rsid w:val="003650B8"/>
    <w:rsid w:val="0037011C"/>
    <w:rsid w:val="0038403F"/>
    <w:rsid w:val="00391662"/>
    <w:rsid w:val="00395E66"/>
    <w:rsid w:val="003A79EC"/>
    <w:rsid w:val="003B32BC"/>
    <w:rsid w:val="003B5DB0"/>
    <w:rsid w:val="003B711F"/>
    <w:rsid w:val="003C183F"/>
    <w:rsid w:val="003C510E"/>
    <w:rsid w:val="003D4306"/>
    <w:rsid w:val="003D7DFB"/>
    <w:rsid w:val="003E0F02"/>
    <w:rsid w:val="003F16E1"/>
    <w:rsid w:val="003F26AC"/>
    <w:rsid w:val="003F2C57"/>
    <w:rsid w:val="003F3223"/>
    <w:rsid w:val="003F42A4"/>
    <w:rsid w:val="003F55D3"/>
    <w:rsid w:val="003F74EE"/>
    <w:rsid w:val="003F77EE"/>
    <w:rsid w:val="003F7BAC"/>
    <w:rsid w:val="00400F19"/>
    <w:rsid w:val="00403D0B"/>
    <w:rsid w:val="00407A0E"/>
    <w:rsid w:val="00411DC5"/>
    <w:rsid w:val="00422EA6"/>
    <w:rsid w:val="00425450"/>
    <w:rsid w:val="00432F4E"/>
    <w:rsid w:val="00435FCE"/>
    <w:rsid w:val="00437F27"/>
    <w:rsid w:val="0044481E"/>
    <w:rsid w:val="00450C77"/>
    <w:rsid w:val="00460748"/>
    <w:rsid w:val="004633AE"/>
    <w:rsid w:val="00467C99"/>
    <w:rsid w:val="00467E7B"/>
    <w:rsid w:val="00482399"/>
    <w:rsid w:val="00482DDD"/>
    <w:rsid w:val="00482F37"/>
    <w:rsid w:val="004946FF"/>
    <w:rsid w:val="004A43BD"/>
    <w:rsid w:val="004A73F3"/>
    <w:rsid w:val="004B6958"/>
    <w:rsid w:val="004B70A9"/>
    <w:rsid w:val="004C48BD"/>
    <w:rsid w:val="004C71E1"/>
    <w:rsid w:val="004D7194"/>
    <w:rsid w:val="004DBDEC"/>
    <w:rsid w:val="004E071F"/>
    <w:rsid w:val="004E2A8E"/>
    <w:rsid w:val="004F17D0"/>
    <w:rsid w:val="004F2604"/>
    <w:rsid w:val="004F4B91"/>
    <w:rsid w:val="0050345A"/>
    <w:rsid w:val="00507D53"/>
    <w:rsid w:val="005153AE"/>
    <w:rsid w:val="00530D4D"/>
    <w:rsid w:val="005414E4"/>
    <w:rsid w:val="0056018A"/>
    <w:rsid w:val="005613ED"/>
    <w:rsid w:val="00561FA5"/>
    <w:rsid w:val="00565B34"/>
    <w:rsid w:val="005662CF"/>
    <w:rsid w:val="00566C9C"/>
    <w:rsid w:val="00571C6B"/>
    <w:rsid w:val="00575345"/>
    <w:rsid w:val="00586411"/>
    <w:rsid w:val="00592D13"/>
    <w:rsid w:val="005A3081"/>
    <w:rsid w:val="005A4253"/>
    <w:rsid w:val="005A5FFA"/>
    <w:rsid w:val="005A7619"/>
    <w:rsid w:val="005A7A00"/>
    <w:rsid w:val="005B5BD7"/>
    <w:rsid w:val="005B7535"/>
    <w:rsid w:val="005C0440"/>
    <w:rsid w:val="005D09FE"/>
    <w:rsid w:val="005D55D8"/>
    <w:rsid w:val="005E18E1"/>
    <w:rsid w:val="005E22C8"/>
    <w:rsid w:val="005E310E"/>
    <w:rsid w:val="005E5D9B"/>
    <w:rsid w:val="005F0EEC"/>
    <w:rsid w:val="005F19EF"/>
    <w:rsid w:val="005F6967"/>
    <w:rsid w:val="0060121B"/>
    <w:rsid w:val="006021FB"/>
    <w:rsid w:val="00611135"/>
    <w:rsid w:val="00612C73"/>
    <w:rsid w:val="00612C7D"/>
    <w:rsid w:val="00616733"/>
    <w:rsid w:val="00625756"/>
    <w:rsid w:val="00642DF8"/>
    <w:rsid w:val="00647B61"/>
    <w:rsid w:val="006510A1"/>
    <w:rsid w:val="0065585E"/>
    <w:rsid w:val="00664190"/>
    <w:rsid w:val="00665C8B"/>
    <w:rsid w:val="00677494"/>
    <w:rsid w:val="00680B8C"/>
    <w:rsid w:val="0068285F"/>
    <w:rsid w:val="00684833"/>
    <w:rsid w:val="006848B1"/>
    <w:rsid w:val="00684C55"/>
    <w:rsid w:val="006931E2"/>
    <w:rsid w:val="00693738"/>
    <w:rsid w:val="00697788"/>
    <w:rsid w:val="0069797C"/>
    <w:rsid w:val="006B4427"/>
    <w:rsid w:val="006B4611"/>
    <w:rsid w:val="006B5B2D"/>
    <w:rsid w:val="006C3507"/>
    <w:rsid w:val="006E1744"/>
    <w:rsid w:val="006E36A8"/>
    <w:rsid w:val="006F01AA"/>
    <w:rsid w:val="006F33C4"/>
    <w:rsid w:val="006F4144"/>
    <w:rsid w:val="006F4283"/>
    <w:rsid w:val="006F646C"/>
    <w:rsid w:val="006F6D3E"/>
    <w:rsid w:val="00702C9B"/>
    <w:rsid w:val="0070623D"/>
    <w:rsid w:val="00713E28"/>
    <w:rsid w:val="00723080"/>
    <w:rsid w:val="007268E8"/>
    <w:rsid w:val="00731E52"/>
    <w:rsid w:val="007328A9"/>
    <w:rsid w:val="007349E9"/>
    <w:rsid w:val="007355C2"/>
    <w:rsid w:val="00752DFB"/>
    <w:rsid w:val="00764C0D"/>
    <w:rsid w:val="007725F2"/>
    <w:rsid w:val="007763E8"/>
    <w:rsid w:val="00781B86"/>
    <w:rsid w:val="00784168"/>
    <w:rsid w:val="0078736E"/>
    <w:rsid w:val="00795178"/>
    <w:rsid w:val="00796DCE"/>
    <w:rsid w:val="00796FF9"/>
    <w:rsid w:val="007A0F9F"/>
    <w:rsid w:val="007A3458"/>
    <w:rsid w:val="007B03AA"/>
    <w:rsid w:val="007B0A1F"/>
    <w:rsid w:val="007B6251"/>
    <w:rsid w:val="007C1294"/>
    <w:rsid w:val="007C5836"/>
    <w:rsid w:val="007D10DB"/>
    <w:rsid w:val="007D6888"/>
    <w:rsid w:val="007D6DD1"/>
    <w:rsid w:val="007E2F93"/>
    <w:rsid w:val="007E3CF7"/>
    <w:rsid w:val="007E5289"/>
    <w:rsid w:val="007F2DCD"/>
    <w:rsid w:val="007F430A"/>
    <w:rsid w:val="00803FC5"/>
    <w:rsid w:val="00804E78"/>
    <w:rsid w:val="00805181"/>
    <w:rsid w:val="00813B73"/>
    <w:rsid w:val="008150DC"/>
    <w:rsid w:val="008245D7"/>
    <w:rsid w:val="008279CC"/>
    <w:rsid w:val="00830741"/>
    <w:rsid w:val="0083607D"/>
    <w:rsid w:val="00843131"/>
    <w:rsid w:val="00851BD3"/>
    <w:rsid w:val="00851F79"/>
    <w:rsid w:val="00853855"/>
    <w:rsid w:val="00856C34"/>
    <w:rsid w:val="00857F51"/>
    <w:rsid w:val="00864014"/>
    <w:rsid w:val="00865EE7"/>
    <w:rsid w:val="0086614F"/>
    <w:rsid w:val="00872B7C"/>
    <w:rsid w:val="00882FD1"/>
    <w:rsid w:val="0088474E"/>
    <w:rsid w:val="00887F56"/>
    <w:rsid w:val="0089508E"/>
    <w:rsid w:val="00895A4E"/>
    <w:rsid w:val="00895C67"/>
    <w:rsid w:val="008960C2"/>
    <w:rsid w:val="008A2F4D"/>
    <w:rsid w:val="008A5914"/>
    <w:rsid w:val="008B2628"/>
    <w:rsid w:val="008B3A07"/>
    <w:rsid w:val="008B3EC3"/>
    <w:rsid w:val="008B4C05"/>
    <w:rsid w:val="008B5BD0"/>
    <w:rsid w:val="008B7034"/>
    <w:rsid w:val="008C1863"/>
    <w:rsid w:val="008C50FC"/>
    <w:rsid w:val="008D64CA"/>
    <w:rsid w:val="008E0E41"/>
    <w:rsid w:val="008E72EF"/>
    <w:rsid w:val="008F43AC"/>
    <w:rsid w:val="00910375"/>
    <w:rsid w:val="00914A43"/>
    <w:rsid w:val="0091669D"/>
    <w:rsid w:val="009173C9"/>
    <w:rsid w:val="00932BD1"/>
    <w:rsid w:val="00936CA5"/>
    <w:rsid w:val="009429E6"/>
    <w:rsid w:val="009435D0"/>
    <w:rsid w:val="00945EEA"/>
    <w:rsid w:val="0095750D"/>
    <w:rsid w:val="00961AC5"/>
    <w:rsid w:val="00970944"/>
    <w:rsid w:val="009750DC"/>
    <w:rsid w:val="00975C75"/>
    <w:rsid w:val="009761BC"/>
    <w:rsid w:val="0099114B"/>
    <w:rsid w:val="00991987"/>
    <w:rsid w:val="009941E7"/>
    <w:rsid w:val="00995853"/>
    <w:rsid w:val="009975BC"/>
    <w:rsid w:val="009B139B"/>
    <w:rsid w:val="009B5E36"/>
    <w:rsid w:val="009C207E"/>
    <w:rsid w:val="009C5167"/>
    <w:rsid w:val="009C6D78"/>
    <w:rsid w:val="009D1490"/>
    <w:rsid w:val="009D15C9"/>
    <w:rsid w:val="009D60B9"/>
    <w:rsid w:val="009D6C0E"/>
    <w:rsid w:val="009E40E3"/>
    <w:rsid w:val="009E7460"/>
    <w:rsid w:val="009E78AD"/>
    <w:rsid w:val="009F1298"/>
    <w:rsid w:val="009F2DE9"/>
    <w:rsid w:val="009F2FAE"/>
    <w:rsid w:val="009F4B4B"/>
    <w:rsid w:val="009F625B"/>
    <w:rsid w:val="00A049A6"/>
    <w:rsid w:val="00A05BA7"/>
    <w:rsid w:val="00A077CA"/>
    <w:rsid w:val="00A14D0B"/>
    <w:rsid w:val="00A16323"/>
    <w:rsid w:val="00A17313"/>
    <w:rsid w:val="00A207C3"/>
    <w:rsid w:val="00A21E05"/>
    <w:rsid w:val="00A326D2"/>
    <w:rsid w:val="00A420BD"/>
    <w:rsid w:val="00A46AE1"/>
    <w:rsid w:val="00A55C5E"/>
    <w:rsid w:val="00A56D65"/>
    <w:rsid w:val="00A657C0"/>
    <w:rsid w:val="00A72B3E"/>
    <w:rsid w:val="00A80087"/>
    <w:rsid w:val="00A84B55"/>
    <w:rsid w:val="00AA5CF4"/>
    <w:rsid w:val="00AC0AF8"/>
    <w:rsid w:val="00AD533F"/>
    <w:rsid w:val="00AE36CD"/>
    <w:rsid w:val="00AE6A9D"/>
    <w:rsid w:val="00AF100C"/>
    <w:rsid w:val="00AF16A7"/>
    <w:rsid w:val="00AF7ACE"/>
    <w:rsid w:val="00B01460"/>
    <w:rsid w:val="00B0396F"/>
    <w:rsid w:val="00B248A7"/>
    <w:rsid w:val="00B314A7"/>
    <w:rsid w:val="00B36223"/>
    <w:rsid w:val="00B57DE8"/>
    <w:rsid w:val="00B64315"/>
    <w:rsid w:val="00B66343"/>
    <w:rsid w:val="00B77240"/>
    <w:rsid w:val="00B81C29"/>
    <w:rsid w:val="00B90D5B"/>
    <w:rsid w:val="00B96281"/>
    <w:rsid w:val="00B97394"/>
    <w:rsid w:val="00BA70E8"/>
    <w:rsid w:val="00BB1263"/>
    <w:rsid w:val="00BB5046"/>
    <w:rsid w:val="00BB728C"/>
    <w:rsid w:val="00BD0D8C"/>
    <w:rsid w:val="00BD4274"/>
    <w:rsid w:val="00BD536A"/>
    <w:rsid w:val="00BD5FBB"/>
    <w:rsid w:val="00BE0B9A"/>
    <w:rsid w:val="00BE2CEF"/>
    <w:rsid w:val="00BF721C"/>
    <w:rsid w:val="00C15046"/>
    <w:rsid w:val="00C35CDA"/>
    <w:rsid w:val="00C373DE"/>
    <w:rsid w:val="00C37E43"/>
    <w:rsid w:val="00C40293"/>
    <w:rsid w:val="00C41F85"/>
    <w:rsid w:val="00C54943"/>
    <w:rsid w:val="00C67B63"/>
    <w:rsid w:val="00C820C9"/>
    <w:rsid w:val="00C83BE3"/>
    <w:rsid w:val="00C87C5D"/>
    <w:rsid w:val="00CA0090"/>
    <w:rsid w:val="00CA46C9"/>
    <w:rsid w:val="00CA5749"/>
    <w:rsid w:val="00CB0722"/>
    <w:rsid w:val="00CC0F5C"/>
    <w:rsid w:val="00CC43F5"/>
    <w:rsid w:val="00CC5273"/>
    <w:rsid w:val="00CC7BE8"/>
    <w:rsid w:val="00CC7C88"/>
    <w:rsid w:val="00CD3C55"/>
    <w:rsid w:val="00CD75F5"/>
    <w:rsid w:val="00CE0179"/>
    <w:rsid w:val="00CE09EB"/>
    <w:rsid w:val="00CE4A41"/>
    <w:rsid w:val="00CE68E2"/>
    <w:rsid w:val="00CF392C"/>
    <w:rsid w:val="00D02F88"/>
    <w:rsid w:val="00D03BB3"/>
    <w:rsid w:val="00D06765"/>
    <w:rsid w:val="00D105BE"/>
    <w:rsid w:val="00D117E9"/>
    <w:rsid w:val="00D147FB"/>
    <w:rsid w:val="00D15476"/>
    <w:rsid w:val="00D242B8"/>
    <w:rsid w:val="00D31A7E"/>
    <w:rsid w:val="00D3494C"/>
    <w:rsid w:val="00D41A07"/>
    <w:rsid w:val="00D50661"/>
    <w:rsid w:val="00D50ACD"/>
    <w:rsid w:val="00D663B1"/>
    <w:rsid w:val="00D7596B"/>
    <w:rsid w:val="00D810C3"/>
    <w:rsid w:val="00D94E7F"/>
    <w:rsid w:val="00DA6277"/>
    <w:rsid w:val="00DB488B"/>
    <w:rsid w:val="00DC1128"/>
    <w:rsid w:val="00DC1561"/>
    <w:rsid w:val="00DD1165"/>
    <w:rsid w:val="00DD6510"/>
    <w:rsid w:val="00DE1DBB"/>
    <w:rsid w:val="00DF2053"/>
    <w:rsid w:val="00DF3837"/>
    <w:rsid w:val="00E017B8"/>
    <w:rsid w:val="00E019EA"/>
    <w:rsid w:val="00E14A43"/>
    <w:rsid w:val="00E17150"/>
    <w:rsid w:val="00E17F60"/>
    <w:rsid w:val="00E21700"/>
    <w:rsid w:val="00E235BE"/>
    <w:rsid w:val="00E3299C"/>
    <w:rsid w:val="00E35FB3"/>
    <w:rsid w:val="00E54AE3"/>
    <w:rsid w:val="00E707D0"/>
    <w:rsid w:val="00E75559"/>
    <w:rsid w:val="00E76BE8"/>
    <w:rsid w:val="00E7702D"/>
    <w:rsid w:val="00E829D2"/>
    <w:rsid w:val="00E84DA0"/>
    <w:rsid w:val="00E9706B"/>
    <w:rsid w:val="00EA4D50"/>
    <w:rsid w:val="00EA6561"/>
    <w:rsid w:val="00EB6C7C"/>
    <w:rsid w:val="00EC75B0"/>
    <w:rsid w:val="00ED1118"/>
    <w:rsid w:val="00EE00D7"/>
    <w:rsid w:val="00EE5895"/>
    <w:rsid w:val="00EF0D9F"/>
    <w:rsid w:val="00EF6527"/>
    <w:rsid w:val="00F03C0C"/>
    <w:rsid w:val="00F11EB8"/>
    <w:rsid w:val="00F17C88"/>
    <w:rsid w:val="00F31ED9"/>
    <w:rsid w:val="00F40E0E"/>
    <w:rsid w:val="00F54A0E"/>
    <w:rsid w:val="00F60DA1"/>
    <w:rsid w:val="00F618F3"/>
    <w:rsid w:val="00F61A5B"/>
    <w:rsid w:val="00F636B5"/>
    <w:rsid w:val="00F6536A"/>
    <w:rsid w:val="00F667DF"/>
    <w:rsid w:val="00F7171E"/>
    <w:rsid w:val="00F7685D"/>
    <w:rsid w:val="00F77979"/>
    <w:rsid w:val="00F81A69"/>
    <w:rsid w:val="00F91DFB"/>
    <w:rsid w:val="00F93C68"/>
    <w:rsid w:val="00FA1AC9"/>
    <w:rsid w:val="00FA299E"/>
    <w:rsid w:val="00FA3FE6"/>
    <w:rsid w:val="00FB6362"/>
    <w:rsid w:val="00FB6D1B"/>
    <w:rsid w:val="00FC176E"/>
    <w:rsid w:val="00FC5EBB"/>
    <w:rsid w:val="00FE13F2"/>
    <w:rsid w:val="03135741"/>
    <w:rsid w:val="042B23B9"/>
    <w:rsid w:val="043EE10A"/>
    <w:rsid w:val="07185C31"/>
    <w:rsid w:val="07947C74"/>
    <w:rsid w:val="098A0A29"/>
    <w:rsid w:val="0A5E6450"/>
    <w:rsid w:val="0BFE509F"/>
    <w:rsid w:val="0CB61FD2"/>
    <w:rsid w:val="0F4DD66E"/>
    <w:rsid w:val="0FBD5D7A"/>
    <w:rsid w:val="10A4FB25"/>
    <w:rsid w:val="10F8D153"/>
    <w:rsid w:val="11D90FF8"/>
    <w:rsid w:val="11E70030"/>
    <w:rsid w:val="123CE280"/>
    <w:rsid w:val="12DD0EDC"/>
    <w:rsid w:val="130DCFB0"/>
    <w:rsid w:val="15A43D48"/>
    <w:rsid w:val="1742101D"/>
    <w:rsid w:val="17C19824"/>
    <w:rsid w:val="181E75B3"/>
    <w:rsid w:val="188F3DE9"/>
    <w:rsid w:val="194AFDA5"/>
    <w:rsid w:val="19DC3B0D"/>
    <w:rsid w:val="1A4F7752"/>
    <w:rsid w:val="1A810907"/>
    <w:rsid w:val="1BBB8F32"/>
    <w:rsid w:val="1BCF33BE"/>
    <w:rsid w:val="1BF6C70A"/>
    <w:rsid w:val="1D1B3BDA"/>
    <w:rsid w:val="1D8B46A2"/>
    <w:rsid w:val="207995B4"/>
    <w:rsid w:val="20C3B5BA"/>
    <w:rsid w:val="20CAD477"/>
    <w:rsid w:val="224E4DDE"/>
    <w:rsid w:val="255D2C8A"/>
    <w:rsid w:val="296B9833"/>
    <w:rsid w:val="29773597"/>
    <w:rsid w:val="2BE4328B"/>
    <w:rsid w:val="2BF67D62"/>
    <w:rsid w:val="2C00FCDB"/>
    <w:rsid w:val="2C5CB310"/>
    <w:rsid w:val="2E0690C6"/>
    <w:rsid w:val="2EC8A2A3"/>
    <w:rsid w:val="30C8B5D9"/>
    <w:rsid w:val="31A9E8EA"/>
    <w:rsid w:val="343C3F2C"/>
    <w:rsid w:val="35212952"/>
    <w:rsid w:val="3591741D"/>
    <w:rsid w:val="3609FABB"/>
    <w:rsid w:val="360B61C6"/>
    <w:rsid w:val="36DBC3FA"/>
    <w:rsid w:val="371ACA1B"/>
    <w:rsid w:val="37A95162"/>
    <w:rsid w:val="38DA4BD8"/>
    <w:rsid w:val="3A41D933"/>
    <w:rsid w:val="3CCDD3ED"/>
    <w:rsid w:val="3E943AB2"/>
    <w:rsid w:val="3EF09802"/>
    <w:rsid w:val="3F696F0F"/>
    <w:rsid w:val="3FB651E8"/>
    <w:rsid w:val="400A3861"/>
    <w:rsid w:val="405292D8"/>
    <w:rsid w:val="41E2FDC6"/>
    <w:rsid w:val="462CDF1B"/>
    <w:rsid w:val="4875386C"/>
    <w:rsid w:val="4B7DD451"/>
    <w:rsid w:val="4B83CFA3"/>
    <w:rsid w:val="4DE6E77A"/>
    <w:rsid w:val="4F5513C8"/>
    <w:rsid w:val="4FC18DCA"/>
    <w:rsid w:val="4FDA8325"/>
    <w:rsid w:val="5099B898"/>
    <w:rsid w:val="52FA64B0"/>
    <w:rsid w:val="541ABD50"/>
    <w:rsid w:val="547DA641"/>
    <w:rsid w:val="557D4332"/>
    <w:rsid w:val="5B38613E"/>
    <w:rsid w:val="5BC58CF2"/>
    <w:rsid w:val="5C1A25E8"/>
    <w:rsid w:val="5C81EA75"/>
    <w:rsid w:val="5CEB3D46"/>
    <w:rsid w:val="5DF553A1"/>
    <w:rsid w:val="5EC8ED7B"/>
    <w:rsid w:val="5F0C8B21"/>
    <w:rsid w:val="60CC0D5B"/>
    <w:rsid w:val="615A775A"/>
    <w:rsid w:val="618D9EF0"/>
    <w:rsid w:val="621913F5"/>
    <w:rsid w:val="62D0BF6C"/>
    <w:rsid w:val="62EA62E0"/>
    <w:rsid w:val="64873F82"/>
    <w:rsid w:val="648C3F68"/>
    <w:rsid w:val="658B1E69"/>
    <w:rsid w:val="6799FD7A"/>
    <w:rsid w:val="688D5F31"/>
    <w:rsid w:val="68AAB73B"/>
    <w:rsid w:val="68DBA870"/>
    <w:rsid w:val="6A4A0735"/>
    <w:rsid w:val="6AB7B4E6"/>
    <w:rsid w:val="702F89AC"/>
    <w:rsid w:val="70BB424F"/>
    <w:rsid w:val="711B09E2"/>
    <w:rsid w:val="723983DA"/>
    <w:rsid w:val="74D75148"/>
    <w:rsid w:val="7506ADDC"/>
    <w:rsid w:val="76E4301B"/>
    <w:rsid w:val="7873DFD4"/>
    <w:rsid w:val="787A6C5D"/>
    <w:rsid w:val="79FEC327"/>
    <w:rsid w:val="7A57C961"/>
    <w:rsid w:val="7CA5D111"/>
    <w:rsid w:val="7D0FAA46"/>
    <w:rsid w:val="7DBB2D50"/>
    <w:rsid w:val="7DD8972B"/>
    <w:rsid w:val="7F043A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6C975477-24E1-421A-97F1-9F77C10DF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34"/>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iPriority w:val="99"/>
    <w:semiHidden/>
    <w:unhideWhenUsed/>
    <w:rsid w:val="005A3081"/>
    <w:rPr>
      <w:sz w:val="20"/>
    </w:rPr>
  </w:style>
  <w:style w:type="character" w:customStyle="1" w:styleId="FootnoteTextChar">
    <w:name w:val="Footnote Text Char"/>
    <w:basedOn w:val="DefaultParagraphFont"/>
    <w:link w:val="FootnoteText"/>
    <w:uiPriority w:val="99"/>
    <w:semiHidden/>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Revision">
    <w:name w:val="Revision"/>
    <w:hidden/>
    <w:uiPriority w:val="99"/>
    <w:semiHidden/>
    <w:rsid w:val="000A0AB3"/>
    <w:pPr>
      <w:spacing w:after="0" w:line="240" w:lineRule="auto"/>
    </w:pPr>
    <w:rPr>
      <w:rFonts w:ascii="Times New Roman" w:eastAsia="HG Mincho Light J" w:hAnsi="Times New Roman" w:cs="Times New Roman"/>
      <w:color w:val="000000"/>
      <w:sz w:val="24"/>
      <w:szCs w:val="20"/>
      <w:lang w:eastAsia="et-EE"/>
    </w:rPr>
  </w:style>
  <w:style w:type="character" w:styleId="FollowedHyperlink">
    <w:name w:val="FollowedHyperlink"/>
    <w:basedOn w:val="DefaultParagraphFont"/>
    <w:uiPriority w:val="99"/>
    <w:semiHidden/>
    <w:unhideWhenUsed/>
    <w:rsid w:val="00C41F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kohus.ee/et/lahendid?asjaNr=3-3-1-85-15" TargetMode="External"/><Relationship Id="rId18" Type="http://schemas.openxmlformats.org/officeDocument/2006/relationships/hyperlink" Target="https://www.riigikohus.ee/et/lahendid?asjaNr=3-1-1-18-06"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iigikohus.ee/et/lahendid?asjaNr=3-24-146/17" TargetMode="External"/><Relationship Id="rId17" Type="http://schemas.openxmlformats.org/officeDocument/2006/relationships/hyperlink" Target="https://www.riigikohus.ee/et/lahendid?asjaNr=3-3-1-29-13" TargetMode="External"/><Relationship Id="rId2" Type="http://schemas.openxmlformats.org/officeDocument/2006/relationships/customXml" Target="../customXml/item2.xml"/><Relationship Id="rId16" Type="http://schemas.openxmlformats.org/officeDocument/2006/relationships/hyperlink" Target="https://www.riigikohus.ee/et/lahendid/?asjaNr=3-3-1-42-1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kohus.ee/et/lahendid?asjaNr=3-20-1214/98" TargetMode="External"/><Relationship Id="rId5" Type="http://schemas.openxmlformats.org/officeDocument/2006/relationships/numbering" Target="numbering.xml"/><Relationship Id="rId15" Type="http://schemas.openxmlformats.org/officeDocument/2006/relationships/hyperlink" Target="https://www.riigikohus.ee/et/lahendid/?asjaNr=3-3-1-29-1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kohus.ee/et/lahendid?asjaNr=3-3-1-44-10"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88074d84a7ac4ef9d441c6166a4529f7">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09c8aaad575b61dc10e13a2578a8fc60"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Props1.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2.xml><?xml version="1.0" encoding="utf-8"?>
<ds:datastoreItem xmlns:ds="http://schemas.openxmlformats.org/officeDocument/2006/customXml" ds:itemID="{FC8B5395-7AC2-494E-AAC9-2D5CBFA4A8CC}">
  <ds:schemaRefs>
    <ds:schemaRef ds:uri="http://schemas.microsoft.com/sharepoint/v3/contenttype/forms"/>
  </ds:schemaRefs>
</ds:datastoreItem>
</file>

<file path=customXml/itemProps3.xml><?xml version="1.0" encoding="utf-8"?>
<ds:datastoreItem xmlns:ds="http://schemas.openxmlformats.org/officeDocument/2006/customXml" ds:itemID="{89D96365-F93C-4AA1-9DC0-DC9228E5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3750FA-CD53-4930-9380-B4D5E4E9B172}">
  <ds:schemaRefs>
    <ds:schemaRef ds:uri="http://schemas.microsoft.com/office/2006/metadata/properties"/>
    <ds:schemaRef ds:uri="http://schemas.microsoft.com/office/infopath/2007/PartnerControls"/>
    <ds:schemaRef ds:uri="3ef563e4-a684-4eea-bca7-75b3817198a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1667</Words>
  <Characters>9675</Characters>
  <Application>Microsoft Office Word</Application>
  <DocSecurity>0</DocSecurity>
  <Lines>80</Lines>
  <Paragraphs>22</Paragraphs>
  <ScaleCrop>false</ScaleCrop>
  <Company>Ettevõte</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2</cp:revision>
  <cp:lastPrinted>2024-09-26T18:29:00Z</cp:lastPrinted>
  <dcterms:created xsi:type="dcterms:W3CDTF">2026-01-05T08:03:00Z</dcterms:created>
  <dcterms:modified xsi:type="dcterms:W3CDTF">2026-01-05T08:03:00Z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